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A460" w14:textId="37F304AB" w:rsidR="44305EB7" w:rsidRDefault="47E2C0D0" w:rsidP="03C3C6E3">
      <w:pPr>
        <w:spacing w:after="225" w:line="240" w:lineRule="auto"/>
        <w:jc w:val="center"/>
      </w:pPr>
      <w:r>
        <w:rPr>
          <w:noProof/>
          <w:lang w:eastAsia="en-AU"/>
        </w:rPr>
        <w:drawing>
          <wp:inline distT="0" distB="0" distL="0" distR="0" wp14:anchorId="2D2377E1" wp14:editId="312C94C2">
            <wp:extent cx="3409950" cy="1378188"/>
            <wp:effectExtent l="0" t="0" r="0" b="0"/>
            <wp:docPr id="2133995952" name="Picture 21339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09950" cy="1378188"/>
                    </a:xfrm>
                    <a:prstGeom prst="rect">
                      <a:avLst/>
                    </a:prstGeom>
                  </pic:spPr>
                </pic:pic>
              </a:graphicData>
            </a:graphic>
          </wp:inline>
        </w:drawing>
      </w:r>
    </w:p>
    <w:p w14:paraId="7F6CEE0B" w14:textId="56CA4B97" w:rsidR="00C23221" w:rsidRDefault="0038497D" w:rsidP="004E6827">
      <w:pPr>
        <w:shd w:val="clear" w:color="auto" w:fill="FFFFFF"/>
        <w:spacing w:after="225" w:line="240" w:lineRule="auto"/>
        <w:jc w:val="both"/>
        <w:outlineLvl w:val="2"/>
        <w:rPr>
          <w:rFonts w:ascii="Arial" w:eastAsia="Times New Roman" w:hAnsi="Arial" w:cs="Arial"/>
          <w:b/>
          <w:bCs/>
          <w:color w:val="1C4590"/>
          <w:sz w:val="24"/>
          <w:szCs w:val="24"/>
          <w:lang w:eastAsia="en-AU"/>
        </w:rPr>
      </w:pPr>
      <w:r>
        <w:rPr>
          <w:rFonts w:ascii="Arial" w:eastAsia="Times New Roman" w:hAnsi="Arial" w:cs="Arial"/>
          <w:b/>
          <w:bCs/>
          <w:color w:val="1C4590"/>
          <w:sz w:val="24"/>
          <w:szCs w:val="24"/>
          <w:lang w:eastAsia="en-AU"/>
        </w:rPr>
        <w:t xml:space="preserve">RP1.4-03 — </w:t>
      </w:r>
      <w:r w:rsidRPr="0038497D">
        <w:rPr>
          <w:rFonts w:ascii="Arial" w:eastAsia="Times New Roman" w:hAnsi="Arial" w:cs="Arial"/>
          <w:b/>
          <w:bCs/>
          <w:color w:val="1C4590"/>
          <w:sz w:val="24"/>
          <w:szCs w:val="24"/>
          <w:lang w:eastAsia="en-AU"/>
        </w:rPr>
        <w:t xml:space="preserve">De-risking </w:t>
      </w:r>
      <w:r>
        <w:rPr>
          <w:rFonts w:ascii="Arial" w:eastAsia="Times New Roman" w:hAnsi="Arial" w:cs="Arial"/>
          <w:b/>
          <w:bCs/>
          <w:color w:val="1C4590"/>
          <w:sz w:val="24"/>
          <w:szCs w:val="24"/>
          <w:lang w:eastAsia="en-AU"/>
        </w:rPr>
        <w:t>Hydrogen</w:t>
      </w:r>
      <w:r w:rsidRPr="0038497D">
        <w:rPr>
          <w:rFonts w:ascii="Arial" w:eastAsia="Times New Roman" w:hAnsi="Arial" w:cs="Arial"/>
          <w:b/>
          <w:bCs/>
          <w:color w:val="1C4590"/>
          <w:sz w:val="24"/>
          <w:szCs w:val="24"/>
          <w:lang w:eastAsia="en-AU"/>
        </w:rPr>
        <w:t xml:space="preserve"> Adaptation to Industrial Processes</w:t>
      </w:r>
    </w:p>
    <w:p w14:paraId="29D52E9C" w14:textId="649F71A4" w:rsidR="0038497D" w:rsidRPr="0038497D" w:rsidRDefault="0038497D" w:rsidP="004E6827">
      <w:pPr>
        <w:jc w:val="both"/>
        <w:rPr>
          <w:rFonts w:ascii="Arial" w:eastAsia="Arial" w:hAnsi="Arial" w:cs="Arial"/>
          <w:i/>
          <w:iCs/>
          <w:color w:val="404040" w:themeColor="text1" w:themeTint="BF"/>
          <w:sz w:val="18"/>
          <w:szCs w:val="18"/>
        </w:rPr>
      </w:pPr>
      <w:r>
        <w:rPr>
          <w:rFonts w:ascii="Arial" w:eastAsia="Arial" w:hAnsi="Arial" w:cs="Arial"/>
          <w:i/>
          <w:iCs/>
          <w:color w:val="404040" w:themeColor="text1" w:themeTint="BF"/>
          <w:sz w:val="18"/>
          <w:szCs w:val="18"/>
          <w:shd w:val="clear" w:color="auto" w:fill="FFFFFF"/>
        </w:rPr>
        <w:t>The p</w:t>
      </w:r>
      <w:r w:rsidRPr="0038497D">
        <w:rPr>
          <w:rFonts w:ascii="Arial" w:eastAsia="Arial" w:hAnsi="Arial" w:cs="Arial"/>
          <w:i/>
          <w:iCs/>
          <w:color w:val="404040" w:themeColor="text1" w:themeTint="BF"/>
          <w:sz w:val="18"/>
          <w:szCs w:val="18"/>
          <w:shd w:val="clear" w:color="auto" w:fill="FFFFFF"/>
        </w:rPr>
        <w:t>roject aims to de-risk the adaptation of renewable hydrogen fuel to thermal industrial processes in which radiation is a dominant heat transfer mechanism, specifically alumina calciners and cement/lime kilns.</w:t>
      </w:r>
    </w:p>
    <w:p w14:paraId="073AD154" w14:textId="0AD67A56" w:rsidR="0038497D" w:rsidRDefault="00BD0F3C" w:rsidP="004E6827">
      <w:pPr>
        <w:jc w:val="both"/>
        <w:rPr>
          <w:rStyle w:val="Strong"/>
          <w:rFonts w:ascii="Arial" w:eastAsia="Arial" w:hAnsi="Arial" w:cs="Arial"/>
          <w:color w:val="404040" w:themeColor="text1" w:themeTint="BF"/>
          <w:sz w:val="18"/>
          <w:szCs w:val="18"/>
        </w:rPr>
      </w:pPr>
      <w:r>
        <w:rPr>
          <w:rStyle w:val="Strong"/>
          <w:rFonts w:ascii="Arial" w:eastAsia="Arial" w:hAnsi="Arial" w:cs="Arial"/>
          <w:color w:val="404040" w:themeColor="text1" w:themeTint="BF"/>
          <w:sz w:val="18"/>
          <w:szCs w:val="18"/>
        </w:rPr>
        <w:t>Project Overview</w:t>
      </w:r>
    </w:p>
    <w:p w14:paraId="519BE575" w14:textId="4471BD94" w:rsidR="00BD0F3C" w:rsidRDefault="00BD0F3C" w:rsidP="004E6827">
      <w:pPr>
        <w:jc w:val="both"/>
        <w:rPr>
          <w:rFonts w:ascii="Arial" w:eastAsia="Arial" w:hAnsi="Arial" w:cs="Arial"/>
          <w:color w:val="404040" w:themeColor="text1" w:themeTint="BF"/>
          <w:sz w:val="18"/>
          <w:szCs w:val="18"/>
          <w:shd w:val="clear" w:color="auto" w:fill="FFFFFF"/>
        </w:rPr>
      </w:pPr>
      <w:r w:rsidRPr="00BD0F3C">
        <w:rPr>
          <w:rFonts w:ascii="Arial" w:eastAsia="Arial" w:hAnsi="Arial" w:cs="Arial"/>
          <w:color w:val="404040" w:themeColor="text1" w:themeTint="BF"/>
          <w:sz w:val="18"/>
          <w:szCs w:val="18"/>
          <w:shd w:val="clear" w:color="auto" w:fill="FFFFFF"/>
        </w:rPr>
        <w:t xml:space="preserve">This </w:t>
      </w:r>
      <w:r>
        <w:rPr>
          <w:rFonts w:ascii="Arial" w:eastAsia="Arial" w:hAnsi="Arial" w:cs="Arial"/>
          <w:color w:val="404040" w:themeColor="text1" w:themeTint="BF"/>
          <w:sz w:val="18"/>
          <w:szCs w:val="18"/>
          <w:shd w:val="clear" w:color="auto" w:fill="FFFFFF"/>
        </w:rPr>
        <w:t>project produced</w:t>
      </w:r>
      <w:r w:rsidRPr="00BD0F3C">
        <w:rPr>
          <w:rFonts w:ascii="Arial" w:eastAsia="Arial" w:hAnsi="Arial" w:cs="Arial"/>
          <w:color w:val="404040" w:themeColor="text1" w:themeTint="BF"/>
          <w:sz w:val="18"/>
          <w:szCs w:val="18"/>
          <w:shd w:val="clear" w:color="auto" w:fill="FFFFFF"/>
        </w:rPr>
        <w:t xml:space="preserve"> results from a joint techno-economic (TEA), process modelling and computational fluid dynamics (CFD) analysis on the effect of blending up to 25% by volume hydrogen with natural gas </w:t>
      </w:r>
      <w:r w:rsidR="00FD63BC">
        <w:rPr>
          <w:rFonts w:ascii="Arial" w:eastAsia="Arial" w:hAnsi="Arial" w:cs="Arial"/>
          <w:color w:val="404040" w:themeColor="text1" w:themeTint="BF"/>
          <w:sz w:val="18"/>
          <w:szCs w:val="18"/>
          <w:shd w:val="clear" w:color="auto" w:fill="FFFFFF"/>
        </w:rPr>
        <w:t xml:space="preserve">(NG) </w:t>
      </w:r>
      <w:r w:rsidRPr="00BD0F3C">
        <w:rPr>
          <w:rFonts w:ascii="Arial" w:eastAsia="Arial" w:hAnsi="Arial" w:cs="Arial"/>
          <w:color w:val="404040" w:themeColor="text1" w:themeTint="BF"/>
          <w:sz w:val="18"/>
          <w:szCs w:val="18"/>
          <w:shd w:val="clear" w:color="auto" w:fill="FFFFFF"/>
        </w:rPr>
        <w:t>into the fuel stream on Australian alumina and integrated cement</w:t>
      </w:r>
      <w:r>
        <w:rPr>
          <w:rFonts w:ascii="Arial" w:eastAsia="Arial" w:hAnsi="Arial" w:cs="Arial"/>
          <w:color w:val="404040" w:themeColor="text1" w:themeTint="BF"/>
          <w:sz w:val="18"/>
          <w:szCs w:val="18"/>
          <w:shd w:val="clear" w:color="auto" w:fill="FFFFFF"/>
        </w:rPr>
        <w:t>/lime</w:t>
      </w:r>
      <w:r w:rsidRPr="00BD0F3C">
        <w:rPr>
          <w:rFonts w:ascii="Arial" w:eastAsia="Arial" w:hAnsi="Arial" w:cs="Arial"/>
          <w:color w:val="404040" w:themeColor="text1" w:themeTint="BF"/>
          <w:sz w:val="18"/>
          <w:szCs w:val="18"/>
          <w:shd w:val="clear" w:color="auto" w:fill="FFFFFF"/>
        </w:rPr>
        <w:t xml:space="preserve"> sectors. </w:t>
      </w:r>
      <w:r w:rsidR="008B31AF">
        <w:rPr>
          <w:rFonts w:ascii="Arial" w:eastAsia="Arial" w:hAnsi="Arial" w:cs="Arial"/>
          <w:color w:val="404040" w:themeColor="text1" w:themeTint="BF"/>
          <w:sz w:val="18"/>
          <w:szCs w:val="18"/>
          <w:shd w:val="clear" w:color="auto" w:fill="FFFFFF"/>
        </w:rPr>
        <w:t xml:space="preserve">Preliminary </w:t>
      </w:r>
      <w:proofErr w:type="spellStart"/>
      <w:r w:rsidR="008B31AF">
        <w:rPr>
          <w:rFonts w:ascii="Arial" w:eastAsia="Arial" w:hAnsi="Arial" w:cs="Arial"/>
          <w:color w:val="404040" w:themeColor="text1" w:themeTint="BF"/>
          <w:sz w:val="18"/>
          <w:szCs w:val="18"/>
          <w:shd w:val="clear" w:color="auto" w:fill="FFFFFF"/>
        </w:rPr>
        <w:t>CFD</w:t>
      </w:r>
      <w:proofErr w:type="spellEnd"/>
      <w:r w:rsidR="008B31AF">
        <w:rPr>
          <w:rFonts w:ascii="Arial" w:eastAsia="Arial" w:hAnsi="Arial" w:cs="Arial"/>
          <w:color w:val="404040" w:themeColor="text1" w:themeTint="BF"/>
          <w:sz w:val="18"/>
          <w:szCs w:val="18"/>
          <w:shd w:val="clear" w:color="auto" w:fill="FFFFFF"/>
        </w:rPr>
        <w:t xml:space="preserve"> analys</w:t>
      </w:r>
      <w:r w:rsidR="00E96694">
        <w:rPr>
          <w:rFonts w:ascii="Arial" w:eastAsia="Arial" w:hAnsi="Arial" w:cs="Arial"/>
          <w:color w:val="404040" w:themeColor="text1" w:themeTint="BF"/>
          <w:sz w:val="18"/>
          <w:szCs w:val="18"/>
          <w:shd w:val="clear" w:color="auto" w:fill="FFFFFF"/>
        </w:rPr>
        <w:t>e</w:t>
      </w:r>
      <w:r w:rsidR="008B31AF">
        <w:rPr>
          <w:rFonts w:ascii="Arial" w:eastAsia="Arial" w:hAnsi="Arial" w:cs="Arial"/>
          <w:color w:val="404040" w:themeColor="text1" w:themeTint="BF"/>
          <w:sz w:val="18"/>
          <w:szCs w:val="18"/>
          <w:shd w:val="clear" w:color="auto" w:fill="FFFFFF"/>
        </w:rPr>
        <w:t xml:space="preserve">s of hydrogen blending on an iron ore pelletiser were also included. </w:t>
      </w:r>
      <w:r w:rsidRPr="00BD0F3C">
        <w:rPr>
          <w:rFonts w:ascii="Arial" w:eastAsia="Arial" w:hAnsi="Arial" w:cs="Arial"/>
          <w:color w:val="404040" w:themeColor="text1" w:themeTint="BF"/>
          <w:sz w:val="18"/>
          <w:szCs w:val="18"/>
          <w:shd w:val="clear" w:color="auto" w:fill="FFFFFF"/>
        </w:rPr>
        <w:t xml:space="preserve">In addition, experimental data around </w:t>
      </w:r>
      <w:r w:rsidR="00E56AE4" w:rsidRPr="00BD0F3C">
        <w:rPr>
          <w:rFonts w:ascii="Arial" w:eastAsia="Arial" w:hAnsi="Arial" w:cs="Arial"/>
          <w:color w:val="404040" w:themeColor="text1" w:themeTint="BF"/>
          <w:sz w:val="18"/>
          <w:szCs w:val="18"/>
          <w:shd w:val="clear" w:color="auto" w:fill="FFFFFF"/>
        </w:rPr>
        <w:t>blended natural gas / hydrogen flames</w:t>
      </w:r>
      <w:r w:rsidR="00E56AE4" w:rsidRPr="00BD0F3C">
        <w:rPr>
          <w:rFonts w:ascii="Arial" w:eastAsia="Arial" w:hAnsi="Arial" w:cs="Arial"/>
          <w:color w:val="404040" w:themeColor="text1" w:themeTint="BF"/>
          <w:sz w:val="18"/>
          <w:szCs w:val="18"/>
          <w:shd w:val="clear" w:color="auto" w:fill="FFFFFF"/>
        </w:rPr>
        <w:t xml:space="preserve"> </w:t>
      </w:r>
      <w:r w:rsidR="00E56AE4">
        <w:rPr>
          <w:rFonts w:ascii="Arial" w:eastAsia="Arial" w:hAnsi="Arial" w:cs="Arial"/>
          <w:color w:val="404040" w:themeColor="text1" w:themeTint="BF"/>
          <w:sz w:val="18"/>
          <w:szCs w:val="18"/>
          <w:shd w:val="clear" w:color="auto" w:fill="FFFFFF"/>
        </w:rPr>
        <w:t xml:space="preserve">and </w:t>
      </w:r>
      <w:r w:rsidRPr="00BD0F3C">
        <w:rPr>
          <w:rFonts w:ascii="Arial" w:eastAsia="Arial" w:hAnsi="Arial" w:cs="Arial"/>
          <w:color w:val="404040" w:themeColor="text1" w:themeTint="BF"/>
          <w:sz w:val="18"/>
          <w:szCs w:val="18"/>
          <w:shd w:val="clear" w:color="auto" w:fill="FFFFFF"/>
        </w:rPr>
        <w:t xml:space="preserve">probing the efficacy of doping biofuels as an adaptation strategy to enhance visibility and radiant fraction of hydrogen-based flames </w:t>
      </w:r>
      <w:r>
        <w:rPr>
          <w:rFonts w:ascii="Arial" w:eastAsia="Arial" w:hAnsi="Arial" w:cs="Arial"/>
          <w:color w:val="404040" w:themeColor="text1" w:themeTint="BF"/>
          <w:sz w:val="18"/>
          <w:szCs w:val="18"/>
          <w:shd w:val="clear" w:color="auto" w:fill="FFFFFF"/>
        </w:rPr>
        <w:t>were also investigated</w:t>
      </w:r>
      <w:r w:rsidRPr="00BD0F3C">
        <w:rPr>
          <w:rFonts w:ascii="Arial" w:eastAsia="Arial" w:hAnsi="Arial" w:cs="Arial"/>
          <w:color w:val="404040" w:themeColor="text1" w:themeTint="BF"/>
          <w:sz w:val="18"/>
          <w:szCs w:val="18"/>
          <w:shd w:val="clear" w:color="auto" w:fill="FFFFFF"/>
        </w:rPr>
        <w:t>.</w:t>
      </w:r>
      <w:r>
        <w:rPr>
          <w:rFonts w:ascii="Arial" w:eastAsia="Arial" w:hAnsi="Arial" w:cs="Arial"/>
          <w:color w:val="404040" w:themeColor="text1" w:themeTint="BF"/>
          <w:sz w:val="18"/>
          <w:szCs w:val="18"/>
          <w:shd w:val="clear" w:color="auto" w:fill="FFFFFF"/>
        </w:rPr>
        <w:t xml:space="preserve"> </w:t>
      </w:r>
      <w:r w:rsidR="008B31AF">
        <w:rPr>
          <w:rFonts w:ascii="Arial" w:eastAsia="Arial" w:hAnsi="Arial" w:cs="Arial"/>
          <w:color w:val="404040" w:themeColor="text1" w:themeTint="BF"/>
          <w:sz w:val="18"/>
          <w:szCs w:val="18"/>
          <w:shd w:val="clear" w:color="auto" w:fill="FFFFFF"/>
        </w:rPr>
        <w:t>Furthermore</w:t>
      </w:r>
      <w:r>
        <w:rPr>
          <w:rFonts w:ascii="Arial" w:eastAsia="Arial" w:hAnsi="Arial" w:cs="Arial"/>
          <w:color w:val="404040" w:themeColor="text1" w:themeTint="BF"/>
          <w:sz w:val="18"/>
          <w:szCs w:val="18"/>
          <w:shd w:val="clear" w:color="auto" w:fill="FFFFFF"/>
        </w:rPr>
        <w:t>, a preliminary assessment of the ultraviolet (UV) emissions from hydrogen flames was included. Specifically, the following activities were reported:</w:t>
      </w:r>
    </w:p>
    <w:p w14:paraId="3A9FCCFB" w14:textId="496045DA" w:rsidR="00BD0F3C" w:rsidRPr="00204933" w:rsidRDefault="003602D1" w:rsidP="004E6827">
      <w:pPr>
        <w:pStyle w:val="ListParagraph"/>
        <w:numPr>
          <w:ilvl w:val="0"/>
          <w:numId w:val="12"/>
        </w:numPr>
        <w:ind w:left="567" w:hanging="283"/>
        <w:jc w:val="both"/>
        <w:rPr>
          <w:rFonts w:ascii="Arial" w:eastAsia="Arial" w:hAnsi="Arial" w:cs="Arial"/>
          <w:color w:val="404040" w:themeColor="text1" w:themeTint="BF"/>
          <w:sz w:val="18"/>
          <w:szCs w:val="18"/>
          <w:shd w:val="clear" w:color="auto" w:fill="FFFFFF"/>
        </w:rPr>
      </w:pPr>
      <w:r w:rsidRPr="00204933">
        <w:rPr>
          <w:rFonts w:ascii="Arial" w:eastAsia="Arial" w:hAnsi="Arial" w:cs="Arial"/>
          <w:color w:val="404040" w:themeColor="text1" w:themeTint="BF"/>
          <w:sz w:val="18"/>
          <w:szCs w:val="18"/>
          <w:shd w:val="clear" w:color="auto" w:fill="FFFFFF"/>
        </w:rPr>
        <w:t>F</w:t>
      </w:r>
      <w:r w:rsidR="00BD0F3C" w:rsidRPr="00204933">
        <w:rPr>
          <w:rFonts w:ascii="Arial" w:eastAsia="Arial" w:hAnsi="Arial" w:cs="Arial"/>
          <w:color w:val="404040" w:themeColor="text1" w:themeTint="BF"/>
          <w:sz w:val="18"/>
          <w:szCs w:val="18"/>
          <w:shd w:val="clear" w:color="auto" w:fill="FFFFFF"/>
        </w:rPr>
        <w:t>irst-order techno-economic (TEA) modelling assessing the impact of hydrogen (H</w:t>
      </w:r>
      <w:r w:rsidR="00BD0F3C" w:rsidRPr="00204933">
        <w:rPr>
          <w:rFonts w:ascii="Arial" w:eastAsia="Arial" w:hAnsi="Arial" w:cs="Arial"/>
          <w:color w:val="404040" w:themeColor="text1" w:themeTint="BF"/>
          <w:sz w:val="18"/>
          <w:szCs w:val="18"/>
          <w:shd w:val="clear" w:color="auto" w:fill="FFFFFF"/>
          <w:vertAlign w:val="subscript"/>
        </w:rPr>
        <w:t>2</w:t>
      </w:r>
      <w:r w:rsidR="00BD0F3C" w:rsidRPr="00204933">
        <w:rPr>
          <w:rFonts w:ascii="Arial" w:eastAsia="Arial" w:hAnsi="Arial" w:cs="Arial"/>
          <w:color w:val="404040" w:themeColor="text1" w:themeTint="BF"/>
          <w:sz w:val="18"/>
          <w:szCs w:val="18"/>
          <w:shd w:val="clear" w:color="auto" w:fill="FFFFFF"/>
        </w:rPr>
        <w:t>) blending (up to 25</w:t>
      </w:r>
      <w:r w:rsidR="00867392">
        <w:rPr>
          <w:rFonts w:ascii="Arial" w:eastAsia="Arial" w:hAnsi="Arial" w:cs="Arial"/>
          <w:color w:val="404040" w:themeColor="text1" w:themeTint="BF"/>
          <w:sz w:val="18"/>
          <w:szCs w:val="18"/>
          <w:shd w:val="clear" w:color="auto" w:fill="FFFFFF"/>
        </w:rPr>
        <w:t> vol.</w:t>
      </w:r>
      <w:r w:rsidR="00BD0F3C" w:rsidRPr="00204933">
        <w:rPr>
          <w:rFonts w:ascii="Arial" w:eastAsia="Arial" w:hAnsi="Arial" w:cs="Arial"/>
          <w:color w:val="404040" w:themeColor="text1" w:themeTint="BF"/>
          <w:sz w:val="18"/>
          <w:szCs w:val="18"/>
          <w:shd w:val="clear" w:color="auto" w:fill="FFFFFF"/>
        </w:rPr>
        <w:t>%) on emission reduction potential, H</w:t>
      </w:r>
      <w:r w:rsidR="00BD0F3C" w:rsidRPr="00204933">
        <w:rPr>
          <w:rFonts w:ascii="Arial" w:eastAsia="Arial" w:hAnsi="Arial" w:cs="Arial"/>
          <w:color w:val="404040" w:themeColor="text1" w:themeTint="BF"/>
          <w:sz w:val="18"/>
          <w:szCs w:val="18"/>
          <w:shd w:val="clear" w:color="auto" w:fill="FFFFFF"/>
          <w:vertAlign w:val="subscript"/>
        </w:rPr>
        <w:t>2</w:t>
      </w:r>
      <w:r w:rsidR="00BD0F3C" w:rsidRPr="00204933">
        <w:rPr>
          <w:rFonts w:ascii="Arial" w:eastAsia="Arial" w:hAnsi="Arial" w:cs="Arial"/>
          <w:color w:val="404040" w:themeColor="text1" w:themeTint="BF"/>
          <w:sz w:val="18"/>
          <w:szCs w:val="18"/>
          <w:shd w:val="clear" w:color="auto" w:fill="FFFFFF"/>
        </w:rPr>
        <w:t xml:space="preserve"> and </w:t>
      </w:r>
      <w:r w:rsidR="00FD63BC">
        <w:rPr>
          <w:rFonts w:ascii="Arial" w:eastAsia="Arial" w:hAnsi="Arial" w:cs="Arial"/>
          <w:color w:val="404040" w:themeColor="text1" w:themeTint="BF"/>
          <w:sz w:val="18"/>
          <w:szCs w:val="18"/>
          <w:shd w:val="clear" w:color="auto" w:fill="FFFFFF"/>
        </w:rPr>
        <w:t>NG</w:t>
      </w:r>
      <w:r w:rsidR="00BD0F3C" w:rsidRPr="00204933">
        <w:rPr>
          <w:rFonts w:ascii="Arial" w:eastAsia="Arial" w:hAnsi="Arial" w:cs="Arial"/>
          <w:color w:val="404040" w:themeColor="text1" w:themeTint="BF"/>
          <w:sz w:val="18"/>
          <w:szCs w:val="18"/>
          <w:shd w:val="clear" w:color="auto" w:fill="FFFFFF"/>
        </w:rPr>
        <w:t xml:space="preserve"> requirement, H</w:t>
      </w:r>
      <w:r w:rsidR="00BD0F3C" w:rsidRPr="00204933">
        <w:rPr>
          <w:rFonts w:ascii="Arial" w:eastAsia="Arial" w:hAnsi="Arial" w:cs="Arial"/>
          <w:color w:val="404040" w:themeColor="text1" w:themeTint="BF"/>
          <w:sz w:val="18"/>
          <w:szCs w:val="18"/>
          <w:shd w:val="clear" w:color="auto" w:fill="FFFFFF"/>
          <w:vertAlign w:val="subscript"/>
        </w:rPr>
        <w:t>2</w:t>
      </w:r>
      <w:r w:rsidR="00BD0F3C" w:rsidRPr="00204933">
        <w:rPr>
          <w:rFonts w:ascii="Arial" w:eastAsia="Arial" w:hAnsi="Arial" w:cs="Arial"/>
          <w:color w:val="404040" w:themeColor="text1" w:themeTint="BF"/>
          <w:sz w:val="18"/>
          <w:szCs w:val="18"/>
          <w:shd w:val="clear" w:color="auto" w:fill="FFFFFF"/>
        </w:rPr>
        <w:t xml:space="preserve"> parity cost, and final cost of commodities, for the Australian alumina and integrated cement sectors.</w:t>
      </w:r>
    </w:p>
    <w:p w14:paraId="1F879041" w14:textId="1E2C668C" w:rsidR="00BD0F3C" w:rsidRPr="00204933" w:rsidRDefault="003602D1" w:rsidP="004E6827">
      <w:pPr>
        <w:pStyle w:val="ListParagraph"/>
        <w:numPr>
          <w:ilvl w:val="0"/>
          <w:numId w:val="12"/>
        </w:numPr>
        <w:ind w:left="567" w:hanging="283"/>
        <w:jc w:val="both"/>
        <w:rPr>
          <w:rFonts w:ascii="Arial" w:eastAsia="Arial" w:hAnsi="Arial" w:cs="Arial"/>
          <w:color w:val="404040" w:themeColor="text1" w:themeTint="BF"/>
          <w:sz w:val="18"/>
          <w:szCs w:val="18"/>
          <w:shd w:val="clear" w:color="auto" w:fill="FFFFFF"/>
        </w:rPr>
      </w:pPr>
      <w:r w:rsidRPr="00204933">
        <w:rPr>
          <w:rFonts w:ascii="Arial" w:eastAsia="Arial" w:hAnsi="Arial" w:cs="Arial"/>
          <w:color w:val="404040" w:themeColor="text1" w:themeTint="BF"/>
          <w:sz w:val="18"/>
          <w:szCs w:val="18"/>
          <w:shd w:val="clear" w:color="auto" w:fill="FFFFFF"/>
        </w:rPr>
        <w:t>P</w:t>
      </w:r>
      <w:r w:rsidR="00BD0F3C" w:rsidRPr="00204933">
        <w:rPr>
          <w:rFonts w:ascii="Arial" w:eastAsia="Arial" w:hAnsi="Arial" w:cs="Arial"/>
          <w:color w:val="404040" w:themeColor="text1" w:themeTint="BF"/>
          <w:sz w:val="18"/>
          <w:szCs w:val="18"/>
          <w:shd w:val="clear" w:color="auto" w:fill="FFFFFF"/>
        </w:rPr>
        <w:t>rocess modelling of the impact of H</w:t>
      </w:r>
      <w:r w:rsidR="00BD0F3C" w:rsidRPr="00204933">
        <w:rPr>
          <w:rFonts w:ascii="Arial" w:eastAsia="Arial" w:hAnsi="Arial" w:cs="Arial"/>
          <w:color w:val="404040" w:themeColor="text1" w:themeTint="BF"/>
          <w:sz w:val="18"/>
          <w:szCs w:val="18"/>
          <w:shd w:val="clear" w:color="auto" w:fill="FFFFFF"/>
          <w:vertAlign w:val="subscript"/>
        </w:rPr>
        <w:t>2</w:t>
      </w:r>
      <w:r w:rsidR="00BD0F3C" w:rsidRPr="00204933">
        <w:rPr>
          <w:rFonts w:ascii="Arial" w:eastAsia="Arial" w:hAnsi="Arial" w:cs="Arial"/>
          <w:color w:val="404040" w:themeColor="text1" w:themeTint="BF"/>
          <w:sz w:val="18"/>
          <w:szCs w:val="18"/>
          <w:shd w:val="clear" w:color="auto" w:fill="FFFFFF"/>
        </w:rPr>
        <w:t xml:space="preserve"> blending (up to 25</w:t>
      </w:r>
      <w:r w:rsidR="00FD63BC">
        <w:rPr>
          <w:rFonts w:ascii="Arial" w:eastAsia="Arial" w:hAnsi="Arial" w:cs="Arial"/>
          <w:color w:val="404040" w:themeColor="text1" w:themeTint="BF"/>
          <w:sz w:val="18"/>
          <w:szCs w:val="18"/>
          <w:shd w:val="clear" w:color="auto" w:fill="FFFFFF"/>
        </w:rPr>
        <w:t> vol.</w:t>
      </w:r>
      <w:r w:rsidR="00BD0F3C" w:rsidRPr="00204933">
        <w:rPr>
          <w:rFonts w:ascii="Arial" w:eastAsia="Arial" w:hAnsi="Arial" w:cs="Arial"/>
          <w:color w:val="404040" w:themeColor="text1" w:themeTint="BF"/>
          <w:sz w:val="18"/>
          <w:szCs w:val="18"/>
          <w:shd w:val="clear" w:color="auto" w:fill="FFFFFF"/>
        </w:rPr>
        <w:t>%) on performance and operation of an alumina gas suspension calciner.</w:t>
      </w:r>
    </w:p>
    <w:p w14:paraId="2EB5C3A3" w14:textId="38F22009" w:rsidR="00BD0F3C" w:rsidRPr="00204933" w:rsidRDefault="00BD0F3C" w:rsidP="004E6827">
      <w:pPr>
        <w:pStyle w:val="ListParagraph"/>
        <w:numPr>
          <w:ilvl w:val="0"/>
          <w:numId w:val="12"/>
        </w:numPr>
        <w:ind w:left="567" w:hanging="283"/>
        <w:jc w:val="both"/>
        <w:rPr>
          <w:rFonts w:ascii="Arial" w:eastAsia="Arial" w:hAnsi="Arial" w:cs="Arial"/>
          <w:color w:val="404040" w:themeColor="text1" w:themeTint="BF"/>
          <w:sz w:val="18"/>
          <w:szCs w:val="18"/>
          <w:shd w:val="clear" w:color="auto" w:fill="FFFFFF"/>
        </w:rPr>
      </w:pPr>
      <w:r w:rsidRPr="00204933">
        <w:rPr>
          <w:rFonts w:ascii="Arial" w:eastAsia="Arial" w:hAnsi="Arial" w:cs="Arial"/>
          <w:color w:val="404040" w:themeColor="text1" w:themeTint="BF"/>
          <w:sz w:val="18"/>
          <w:szCs w:val="18"/>
          <w:shd w:val="clear" w:color="auto" w:fill="FFFFFF"/>
        </w:rPr>
        <w:t>CFD modelling of a simplified NG-fired rotary kiln and a commercial NG-fired straight-grate iron ore pelletiser to assess the impact of H</w:t>
      </w:r>
      <w:r w:rsidRPr="00204933">
        <w:rPr>
          <w:rFonts w:ascii="Arial" w:eastAsia="Arial" w:hAnsi="Arial" w:cs="Arial"/>
          <w:color w:val="404040" w:themeColor="text1" w:themeTint="BF"/>
          <w:sz w:val="18"/>
          <w:szCs w:val="18"/>
          <w:shd w:val="clear" w:color="auto" w:fill="FFFFFF"/>
          <w:vertAlign w:val="subscript"/>
        </w:rPr>
        <w:t>2</w:t>
      </w:r>
      <w:r w:rsidRPr="00204933">
        <w:rPr>
          <w:rFonts w:ascii="Arial" w:eastAsia="Arial" w:hAnsi="Arial" w:cs="Arial"/>
          <w:color w:val="404040" w:themeColor="text1" w:themeTint="BF"/>
          <w:sz w:val="18"/>
          <w:szCs w:val="18"/>
          <w:shd w:val="clear" w:color="auto" w:fill="FFFFFF"/>
        </w:rPr>
        <w:t xml:space="preserve"> blending (up to 25</w:t>
      </w:r>
      <w:r w:rsidR="00FD63BC">
        <w:rPr>
          <w:rFonts w:ascii="Arial" w:eastAsia="Arial" w:hAnsi="Arial" w:cs="Arial"/>
          <w:color w:val="404040" w:themeColor="text1" w:themeTint="BF"/>
          <w:sz w:val="18"/>
          <w:szCs w:val="18"/>
          <w:shd w:val="clear" w:color="auto" w:fill="FFFFFF"/>
        </w:rPr>
        <w:t> vol.</w:t>
      </w:r>
      <w:r w:rsidRPr="00204933">
        <w:rPr>
          <w:rFonts w:ascii="Arial" w:eastAsia="Arial" w:hAnsi="Arial" w:cs="Arial"/>
          <w:color w:val="404040" w:themeColor="text1" w:themeTint="BF"/>
          <w:sz w:val="18"/>
          <w:szCs w:val="18"/>
          <w:shd w:val="clear" w:color="auto" w:fill="FFFFFF"/>
        </w:rPr>
        <w:t>%) on flame and burner performance.</w:t>
      </w:r>
    </w:p>
    <w:p w14:paraId="7FD3B55E" w14:textId="6F596E41" w:rsidR="00BD0F3C" w:rsidRPr="00204933" w:rsidRDefault="003602D1" w:rsidP="004E6827">
      <w:pPr>
        <w:pStyle w:val="ListParagraph"/>
        <w:numPr>
          <w:ilvl w:val="0"/>
          <w:numId w:val="12"/>
        </w:numPr>
        <w:ind w:left="567" w:hanging="283"/>
        <w:jc w:val="both"/>
        <w:rPr>
          <w:rFonts w:ascii="Arial" w:eastAsia="Arial" w:hAnsi="Arial" w:cs="Arial"/>
          <w:color w:val="404040" w:themeColor="text1" w:themeTint="BF"/>
          <w:sz w:val="18"/>
          <w:szCs w:val="18"/>
          <w:shd w:val="clear" w:color="auto" w:fill="FFFFFF"/>
        </w:rPr>
      </w:pPr>
      <w:r w:rsidRPr="00204933">
        <w:rPr>
          <w:rFonts w:ascii="Arial" w:eastAsia="Arial" w:hAnsi="Arial" w:cs="Arial"/>
          <w:color w:val="404040" w:themeColor="text1" w:themeTint="BF"/>
          <w:sz w:val="18"/>
          <w:szCs w:val="18"/>
          <w:shd w:val="clear" w:color="auto" w:fill="FFFFFF"/>
        </w:rPr>
        <w:t>E</w:t>
      </w:r>
      <w:r w:rsidR="00BD0F3C" w:rsidRPr="00204933">
        <w:rPr>
          <w:rFonts w:ascii="Arial" w:eastAsia="Arial" w:hAnsi="Arial" w:cs="Arial"/>
          <w:color w:val="404040" w:themeColor="text1" w:themeTint="BF"/>
          <w:sz w:val="18"/>
          <w:szCs w:val="18"/>
          <w:shd w:val="clear" w:color="auto" w:fill="FFFFFF"/>
        </w:rPr>
        <w:t xml:space="preserve">xperimental investigation of </w:t>
      </w:r>
      <w:r w:rsidR="00E56AE4" w:rsidRPr="00204933">
        <w:rPr>
          <w:rFonts w:ascii="Arial" w:eastAsia="Arial" w:hAnsi="Arial" w:cs="Arial"/>
          <w:color w:val="404040" w:themeColor="text1" w:themeTint="BF"/>
          <w:sz w:val="18"/>
          <w:szCs w:val="18"/>
          <w:shd w:val="clear" w:color="auto" w:fill="FFFFFF"/>
        </w:rPr>
        <w:t>blended H</w:t>
      </w:r>
      <w:r w:rsidR="00E56AE4" w:rsidRPr="00204933">
        <w:rPr>
          <w:rFonts w:ascii="Arial" w:eastAsia="Arial" w:hAnsi="Arial" w:cs="Arial"/>
          <w:color w:val="404040" w:themeColor="text1" w:themeTint="BF"/>
          <w:sz w:val="18"/>
          <w:szCs w:val="18"/>
          <w:shd w:val="clear" w:color="auto" w:fill="FFFFFF"/>
          <w:vertAlign w:val="subscript"/>
        </w:rPr>
        <w:t>2</w:t>
      </w:r>
      <w:r w:rsidR="00E56AE4" w:rsidRPr="00204933">
        <w:rPr>
          <w:rFonts w:ascii="Arial" w:eastAsia="Arial" w:hAnsi="Arial" w:cs="Arial"/>
          <w:color w:val="404040" w:themeColor="text1" w:themeTint="BF"/>
          <w:sz w:val="18"/>
          <w:szCs w:val="18"/>
          <w:shd w:val="clear" w:color="auto" w:fill="FFFFFF"/>
        </w:rPr>
        <w:t>/</w:t>
      </w:r>
      <w:r w:rsidR="00E56AE4">
        <w:rPr>
          <w:rFonts w:ascii="Arial" w:eastAsia="Arial" w:hAnsi="Arial" w:cs="Arial"/>
          <w:color w:val="404040" w:themeColor="text1" w:themeTint="BF"/>
          <w:sz w:val="18"/>
          <w:szCs w:val="18"/>
          <w:shd w:val="clear" w:color="auto" w:fill="FFFFFF"/>
        </w:rPr>
        <w:t>NG</w:t>
      </w:r>
      <w:r w:rsidR="00E56AE4" w:rsidRPr="00204933">
        <w:rPr>
          <w:rFonts w:ascii="Arial" w:eastAsia="Arial" w:hAnsi="Arial" w:cs="Arial"/>
          <w:color w:val="404040" w:themeColor="text1" w:themeTint="BF"/>
          <w:sz w:val="18"/>
          <w:szCs w:val="18"/>
          <w:shd w:val="clear" w:color="auto" w:fill="FFFFFF"/>
        </w:rPr>
        <w:t xml:space="preserve"> flames</w:t>
      </w:r>
      <w:r w:rsidR="00E56AE4" w:rsidRPr="00204933">
        <w:rPr>
          <w:rFonts w:ascii="Arial" w:eastAsia="Arial" w:hAnsi="Arial" w:cs="Arial"/>
          <w:color w:val="404040" w:themeColor="text1" w:themeTint="BF"/>
          <w:sz w:val="18"/>
          <w:szCs w:val="18"/>
          <w:shd w:val="clear" w:color="auto" w:fill="FFFFFF"/>
        </w:rPr>
        <w:t xml:space="preserve"> </w:t>
      </w:r>
      <w:r w:rsidR="00E56AE4">
        <w:rPr>
          <w:rFonts w:ascii="Arial" w:eastAsia="Arial" w:hAnsi="Arial" w:cs="Arial"/>
          <w:color w:val="404040" w:themeColor="text1" w:themeTint="BF"/>
          <w:sz w:val="18"/>
          <w:szCs w:val="18"/>
          <w:shd w:val="clear" w:color="auto" w:fill="FFFFFF"/>
        </w:rPr>
        <w:t xml:space="preserve">and </w:t>
      </w:r>
      <w:r w:rsidR="00BD0F3C" w:rsidRPr="00204933">
        <w:rPr>
          <w:rFonts w:ascii="Arial" w:eastAsia="Arial" w:hAnsi="Arial" w:cs="Arial"/>
          <w:color w:val="404040" w:themeColor="text1" w:themeTint="BF"/>
          <w:sz w:val="18"/>
          <w:szCs w:val="18"/>
          <w:shd w:val="clear" w:color="auto" w:fill="FFFFFF"/>
        </w:rPr>
        <w:t>using bio-oil doping as a potential strategy to increase the radiant heat transfer and visibility of H</w:t>
      </w:r>
      <w:r w:rsidR="00BD0F3C" w:rsidRPr="00204933">
        <w:rPr>
          <w:rFonts w:ascii="Arial" w:eastAsia="Arial" w:hAnsi="Arial" w:cs="Arial"/>
          <w:color w:val="404040" w:themeColor="text1" w:themeTint="BF"/>
          <w:sz w:val="18"/>
          <w:szCs w:val="18"/>
          <w:shd w:val="clear" w:color="auto" w:fill="FFFFFF"/>
          <w:vertAlign w:val="subscript"/>
        </w:rPr>
        <w:t>2</w:t>
      </w:r>
      <w:r w:rsidR="00BD0F3C" w:rsidRPr="00204933">
        <w:rPr>
          <w:rFonts w:ascii="Arial" w:eastAsia="Arial" w:hAnsi="Arial" w:cs="Arial"/>
          <w:color w:val="404040" w:themeColor="text1" w:themeTint="BF"/>
          <w:sz w:val="18"/>
          <w:szCs w:val="18"/>
          <w:shd w:val="clear" w:color="auto" w:fill="FFFFFF"/>
        </w:rPr>
        <w:t xml:space="preserve"> (100%).</w:t>
      </w:r>
    </w:p>
    <w:p w14:paraId="7ABBC601" w14:textId="0DDEA670" w:rsidR="00BD0F3C" w:rsidRDefault="00896A5C" w:rsidP="004E6827">
      <w:pPr>
        <w:pStyle w:val="ListParagraph"/>
        <w:numPr>
          <w:ilvl w:val="0"/>
          <w:numId w:val="12"/>
        </w:numPr>
        <w:ind w:left="567" w:hanging="283"/>
        <w:jc w:val="both"/>
        <w:rPr>
          <w:rFonts w:ascii="Arial" w:eastAsia="Arial" w:hAnsi="Arial" w:cs="Arial"/>
          <w:color w:val="404040" w:themeColor="text1" w:themeTint="BF"/>
          <w:sz w:val="18"/>
          <w:szCs w:val="18"/>
          <w:shd w:val="clear" w:color="auto" w:fill="FFFFFF"/>
        </w:rPr>
      </w:pPr>
      <w:r w:rsidRPr="00204933">
        <w:rPr>
          <w:rFonts w:ascii="Arial" w:eastAsia="Arial" w:hAnsi="Arial" w:cs="Arial"/>
          <w:color w:val="404040" w:themeColor="text1" w:themeTint="BF"/>
          <w:sz w:val="18"/>
          <w:szCs w:val="18"/>
          <w:shd w:val="clear" w:color="auto" w:fill="FFFFFF"/>
        </w:rPr>
        <w:t>A</w:t>
      </w:r>
      <w:r w:rsidR="000616A8" w:rsidRPr="00204933">
        <w:rPr>
          <w:rFonts w:ascii="Arial" w:eastAsia="Arial" w:hAnsi="Arial" w:cs="Arial"/>
          <w:color w:val="404040" w:themeColor="text1" w:themeTint="BF"/>
          <w:sz w:val="18"/>
          <w:szCs w:val="18"/>
          <w:shd w:val="clear" w:color="auto" w:fill="FFFFFF"/>
        </w:rPr>
        <w:t xml:space="preserve">ssessment of the risks of UV emissions from </w:t>
      </w:r>
      <w:r w:rsidR="00FD63BC">
        <w:rPr>
          <w:rFonts w:ascii="Arial" w:eastAsia="Arial" w:hAnsi="Arial" w:cs="Arial"/>
          <w:color w:val="404040" w:themeColor="text1" w:themeTint="BF"/>
          <w:sz w:val="18"/>
          <w:szCs w:val="18"/>
          <w:shd w:val="clear" w:color="auto" w:fill="FFFFFF"/>
        </w:rPr>
        <w:t>hydrogen</w:t>
      </w:r>
      <w:r w:rsidR="000616A8" w:rsidRPr="00204933">
        <w:rPr>
          <w:rFonts w:ascii="Arial" w:eastAsia="Arial" w:hAnsi="Arial" w:cs="Arial"/>
          <w:color w:val="404040" w:themeColor="text1" w:themeTint="BF"/>
          <w:sz w:val="18"/>
          <w:szCs w:val="18"/>
          <w:shd w:val="clear" w:color="auto" w:fill="FFFFFF"/>
        </w:rPr>
        <w:t xml:space="preserve"> flames.</w:t>
      </w:r>
    </w:p>
    <w:p w14:paraId="313ECB1A" w14:textId="583644A3" w:rsidR="00653EBA" w:rsidRDefault="00653EBA" w:rsidP="004E6827">
      <w:pPr>
        <w:jc w:val="both"/>
        <w:rPr>
          <w:rStyle w:val="Strong"/>
          <w:rFonts w:ascii="Arial" w:eastAsia="Arial" w:hAnsi="Arial" w:cs="Arial"/>
          <w:color w:val="404040" w:themeColor="text1" w:themeTint="BF"/>
          <w:sz w:val="18"/>
          <w:szCs w:val="18"/>
        </w:rPr>
      </w:pPr>
      <w:r w:rsidRPr="1C3B124F">
        <w:rPr>
          <w:rStyle w:val="Strong"/>
          <w:rFonts w:ascii="Arial" w:eastAsia="Arial" w:hAnsi="Arial" w:cs="Arial"/>
          <w:color w:val="404040" w:themeColor="text1" w:themeTint="BF"/>
          <w:sz w:val="18"/>
          <w:szCs w:val="18"/>
        </w:rPr>
        <w:t>T</w:t>
      </w:r>
      <w:r>
        <w:rPr>
          <w:rStyle w:val="Strong"/>
          <w:rFonts w:ascii="Arial" w:eastAsia="Arial" w:hAnsi="Arial" w:cs="Arial"/>
          <w:color w:val="404040" w:themeColor="text1" w:themeTint="BF"/>
          <w:sz w:val="18"/>
          <w:szCs w:val="18"/>
        </w:rPr>
        <w:t>echno-economic analysis – alumina and cement sectors</w:t>
      </w:r>
    </w:p>
    <w:p w14:paraId="5102681B" w14:textId="0067E26B" w:rsidR="00653EBA" w:rsidRDefault="00FD63BC" w:rsidP="004E6827">
      <w:pPr>
        <w:jc w:val="both"/>
        <w:rPr>
          <w:rStyle w:val="Strong"/>
          <w:rFonts w:ascii="Arial" w:eastAsia="Arial" w:hAnsi="Arial" w:cs="Arial"/>
          <w:b w:val="0"/>
          <w:bCs w:val="0"/>
          <w:color w:val="404040" w:themeColor="text1" w:themeTint="BF"/>
          <w:sz w:val="18"/>
          <w:szCs w:val="18"/>
        </w:rPr>
      </w:pPr>
      <w:r w:rsidRPr="00FD63BC">
        <w:rPr>
          <w:rStyle w:val="Strong"/>
          <w:rFonts w:ascii="Arial" w:eastAsia="Arial" w:hAnsi="Arial" w:cs="Arial"/>
          <w:b w:val="0"/>
          <w:bCs w:val="0"/>
          <w:color w:val="404040" w:themeColor="text1" w:themeTint="BF"/>
          <w:sz w:val="18"/>
          <w:szCs w:val="18"/>
        </w:rPr>
        <w:t>For the alumina sector, the emissions reduction potential via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up to 25</w:t>
      </w:r>
      <w:r>
        <w:rPr>
          <w:rStyle w:val="Strong"/>
          <w:rFonts w:ascii="Arial" w:eastAsia="Arial" w:hAnsi="Arial" w:cs="Arial"/>
          <w:b w:val="0"/>
          <w:bCs w:val="0"/>
          <w:color w:val="404040" w:themeColor="text1" w:themeTint="BF"/>
          <w:sz w:val="18"/>
          <w:szCs w:val="18"/>
        </w:rPr>
        <w:t> vol.</w:t>
      </w:r>
      <w:r w:rsidRPr="00FD63BC">
        <w:rPr>
          <w:rStyle w:val="Strong"/>
          <w:rFonts w:ascii="Arial" w:eastAsia="Arial" w:hAnsi="Arial" w:cs="Arial"/>
          <w:b w:val="0"/>
          <w:bCs w:val="0"/>
          <w:color w:val="404040" w:themeColor="text1" w:themeTint="BF"/>
          <w:sz w:val="18"/>
          <w:szCs w:val="18"/>
        </w:rPr>
        <w:t xml:space="preserve">% into natural gas </w:t>
      </w:r>
      <w:r>
        <w:rPr>
          <w:rStyle w:val="Strong"/>
          <w:rFonts w:ascii="Arial" w:eastAsia="Arial" w:hAnsi="Arial" w:cs="Arial"/>
          <w:b w:val="0"/>
          <w:bCs w:val="0"/>
          <w:color w:val="404040" w:themeColor="text1" w:themeTint="BF"/>
          <w:sz w:val="18"/>
          <w:szCs w:val="18"/>
        </w:rPr>
        <w:t xml:space="preserve">(NG) </w:t>
      </w:r>
      <w:r w:rsidRPr="00FD63BC">
        <w:rPr>
          <w:rStyle w:val="Strong"/>
          <w:rFonts w:ascii="Arial" w:eastAsia="Arial" w:hAnsi="Arial" w:cs="Arial"/>
          <w:b w:val="0"/>
          <w:bCs w:val="0"/>
          <w:color w:val="404040" w:themeColor="text1" w:themeTint="BF"/>
          <w:sz w:val="18"/>
          <w:szCs w:val="18"/>
        </w:rPr>
        <w:t>was found to be significant in absolute terms, by up to 0.9</w:t>
      </w:r>
      <w:r w:rsidR="00867392">
        <w:rPr>
          <w:rStyle w:val="Strong"/>
          <w:rFonts w:ascii="Arial" w:eastAsia="Arial" w:hAnsi="Arial" w:cs="Arial"/>
          <w:b w:val="0"/>
          <w:bCs w:val="0"/>
          <w:color w:val="404040" w:themeColor="text1" w:themeTint="BF"/>
          <w:sz w:val="18"/>
          <w:szCs w:val="18"/>
        </w:rPr>
        <w:t> </w:t>
      </w:r>
      <w:r w:rsidRPr="00FD63BC">
        <w:rPr>
          <w:rStyle w:val="Strong"/>
          <w:rFonts w:ascii="Arial" w:eastAsia="Arial" w:hAnsi="Arial" w:cs="Arial"/>
          <w:b w:val="0"/>
          <w:bCs w:val="0"/>
          <w:color w:val="404040" w:themeColor="text1" w:themeTint="BF"/>
          <w:sz w:val="18"/>
          <w:szCs w:val="18"/>
        </w:rPr>
        <w:t>MtCO</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-e per year, although its relative impact is relatively low at approximately 6% of the total sector’s CO</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emissions. In a scenario of 25% H</w:t>
      </w:r>
      <w:r w:rsidRPr="00867392">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by volume, 0.12</w:t>
      </w:r>
      <w:r w:rsidR="00867392">
        <w:rPr>
          <w:rStyle w:val="Strong"/>
          <w:rFonts w:ascii="Arial" w:eastAsia="Arial" w:hAnsi="Arial" w:cs="Arial"/>
          <w:b w:val="0"/>
          <w:bCs w:val="0"/>
          <w:color w:val="404040" w:themeColor="text1" w:themeTint="BF"/>
          <w:sz w:val="18"/>
          <w:szCs w:val="18"/>
        </w:rPr>
        <w:t> </w:t>
      </w:r>
      <w:r w:rsidRPr="00FD63BC">
        <w:rPr>
          <w:rStyle w:val="Strong"/>
          <w:rFonts w:ascii="Arial" w:eastAsia="Arial" w:hAnsi="Arial" w:cs="Arial"/>
          <w:b w:val="0"/>
          <w:bCs w:val="0"/>
          <w:color w:val="404040" w:themeColor="text1" w:themeTint="BF"/>
          <w:sz w:val="18"/>
          <w:szCs w:val="18"/>
        </w:rPr>
        <w:t>Mt of low-carbon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per year—corresponding to half of Australia’s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production in 2020—would be needed to satisfy this energy requirement for the alumina sector. This amount of H</w:t>
      </w:r>
      <w:r w:rsidRPr="00AE75F7">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is expected to have negligible impact on the sale price of the alumina. For integrated cement plants, the economic benefit for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is less significant compared with that of alumina production. The estimated emissions reduction potential associated with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(up to 25</w:t>
      </w:r>
      <w:r w:rsidR="00AE75F7">
        <w:rPr>
          <w:rStyle w:val="Strong"/>
          <w:rFonts w:ascii="Arial" w:eastAsia="Arial" w:hAnsi="Arial" w:cs="Arial"/>
          <w:b w:val="0"/>
          <w:bCs w:val="0"/>
          <w:color w:val="404040" w:themeColor="text1" w:themeTint="BF"/>
          <w:sz w:val="18"/>
          <w:szCs w:val="18"/>
        </w:rPr>
        <w:t> </w:t>
      </w:r>
      <w:r w:rsidRPr="00FD63BC">
        <w:rPr>
          <w:rStyle w:val="Strong"/>
          <w:rFonts w:ascii="Arial" w:eastAsia="Arial" w:hAnsi="Arial" w:cs="Arial"/>
          <w:b w:val="0"/>
          <w:bCs w:val="0"/>
          <w:color w:val="404040" w:themeColor="text1" w:themeTint="BF"/>
          <w:sz w:val="18"/>
          <w:szCs w:val="18"/>
        </w:rPr>
        <w:t>vol.%</w:t>
      </w:r>
      <w:r w:rsidR="00AE75F7">
        <w:rPr>
          <w:rStyle w:val="Strong"/>
          <w:rFonts w:ascii="Arial" w:eastAsia="Arial" w:hAnsi="Arial" w:cs="Arial"/>
          <w:b w:val="0"/>
          <w:bCs w:val="0"/>
          <w:color w:val="404040" w:themeColor="text1" w:themeTint="BF"/>
          <w:sz w:val="18"/>
          <w:szCs w:val="18"/>
        </w:rPr>
        <w:t>)</w:t>
      </w:r>
      <w:r w:rsidRPr="00FD63BC">
        <w:rPr>
          <w:rStyle w:val="Strong"/>
          <w:rFonts w:ascii="Arial" w:eastAsia="Arial" w:hAnsi="Arial" w:cs="Arial"/>
          <w:b w:val="0"/>
          <w:bCs w:val="0"/>
          <w:color w:val="404040" w:themeColor="text1" w:themeTint="BF"/>
          <w:sz w:val="18"/>
          <w:szCs w:val="18"/>
        </w:rPr>
        <w:t xml:space="preserve"> was found to be fifty times less in absolute terms than for alumina (up to 0.02 MtCO</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-e per year), and also an order of magnitude less in relative terms (only 0.</w:t>
      </w:r>
      <w:r>
        <w:rPr>
          <w:rStyle w:val="Strong"/>
          <w:rFonts w:ascii="Arial" w:eastAsia="Arial" w:hAnsi="Arial" w:cs="Arial"/>
          <w:b w:val="0"/>
          <w:bCs w:val="0"/>
          <w:color w:val="404040" w:themeColor="text1" w:themeTint="BF"/>
          <w:sz w:val="18"/>
          <w:szCs w:val="18"/>
        </w:rPr>
        <w:t>4</w:t>
      </w:r>
      <w:r w:rsidRPr="00FD63BC">
        <w:rPr>
          <w:rStyle w:val="Strong"/>
          <w:rFonts w:ascii="Arial" w:eastAsia="Arial" w:hAnsi="Arial" w:cs="Arial"/>
          <w:b w:val="0"/>
          <w:bCs w:val="0"/>
          <w:color w:val="404040" w:themeColor="text1" w:themeTint="BF"/>
          <w:sz w:val="18"/>
          <w:szCs w:val="18"/>
        </w:rPr>
        <w:t>% of the total sector CO</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emissions, due to the majority of the emissions being derived from the limestone itself) and because the natural gas to be replaced with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only accounts for 20% of the total energy consumed by sector (with coal still being the predominant fuel). This indicates that the cement sector is not likely to benefit significantly from a H</w:t>
      </w:r>
      <w:r w:rsidR="00867392">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blending strategy in terms of decarbonisation. The TEA suggests that blending is likely to be economically feasible for the case of alumina production even though, for both the alumina and cement sectors, the parity cost for H</w:t>
      </w:r>
      <w:r w:rsidRPr="00FD63BC">
        <w:rPr>
          <w:rStyle w:val="Strong"/>
          <w:rFonts w:ascii="Arial" w:eastAsia="Arial" w:hAnsi="Arial" w:cs="Arial"/>
          <w:b w:val="0"/>
          <w:bCs w:val="0"/>
          <w:color w:val="404040" w:themeColor="text1" w:themeTint="BF"/>
          <w:sz w:val="18"/>
          <w:szCs w:val="18"/>
          <w:vertAlign w:val="subscript"/>
        </w:rPr>
        <w:t>2</w:t>
      </w:r>
      <w:r w:rsidRPr="00FD63BC">
        <w:rPr>
          <w:rStyle w:val="Strong"/>
          <w:rFonts w:ascii="Arial" w:eastAsia="Arial" w:hAnsi="Arial" w:cs="Arial"/>
          <w:b w:val="0"/>
          <w:bCs w:val="0"/>
          <w:color w:val="404040" w:themeColor="text1" w:themeTint="BF"/>
          <w:sz w:val="18"/>
          <w:szCs w:val="18"/>
        </w:rPr>
        <w:t xml:space="preserve"> to displace natural gas (NG) is around 1–2 A$/kg for a NG price of 9–18 A$/GJ.</w:t>
      </w:r>
    </w:p>
    <w:p w14:paraId="59A4F03E" w14:textId="545B1195" w:rsidR="6067BEDF" w:rsidRDefault="00653EBA" w:rsidP="004E6827">
      <w:pPr>
        <w:jc w:val="both"/>
        <w:rPr>
          <w:rStyle w:val="Strong"/>
          <w:rFonts w:ascii="Arial" w:eastAsia="Arial" w:hAnsi="Arial" w:cs="Arial"/>
          <w:color w:val="404040" w:themeColor="text1" w:themeTint="BF"/>
          <w:sz w:val="18"/>
          <w:szCs w:val="18"/>
        </w:rPr>
      </w:pPr>
      <w:r>
        <w:rPr>
          <w:rStyle w:val="Strong"/>
          <w:rFonts w:ascii="Arial" w:eastAsia="Arial" w:hAnsi="Arial" w:cs="Arial"/>
          <w:color w:val="404040" w:themeColor="text1" w:themeTint="BF"/>
          <w:sz w:val="18"/>
          <w:szCs w:val="18"/>
        </w:rPr>
        <w:t>Process modelling – alumina calciner</w:t>
      </w:r>
    </w:p>
    <w:p w14:paraId="26B4A7F8" w14:textId="388460E9" w:rsidR="0038497D" w:rsidRDefault="00AE75F7" w:rsidP="004E6827">
      <w:pPr>
        <w:jc w:val="both"/>
        <w:rPr>
          <w:rStyle w:val="Strong"/>
          <w:rFonts w:ascii="Arial" w:eastAsia="Arial" w:hAnsi="Arial" w:cs="Arial"/>
          <w:b w:val="0"/>
          <w:bCs w:val="0"/>
          <w:color w:val="404040" w:themeColor="text1" w:themeTint="BF"/>
          <w:sz w:val="18"/>
          <w:szCs w:val="18"/>
        </w:rPr>
      </w:pPr>
      <w:r w:rsidRPr="00AE75F7">
        <w:rPr>
          <w:rStyle w:val="Strong"/>
          <w:rFonts w:ascii="Arial" w:eastAsia="Arial" w:hAnsi="Arial" w:cs="Arial"/>
          <w:b w:val="0"/>
          <w:bCs w:val="0"/>
          <w:color w:val="404040" w:themeColor="text1" w:themeTint="BF"/>
          <w:sz w:val="18"/>
          <w:szCs w:val="18"/>
        </w:rPr>
        <w:t>The process modelling of the last step of the alumina Bayer process also demonstrates that this step can be undertaken with H</w:t>
      </w:r>
      <w:r w:rsidRPr="00867392">
        <w:rPr>
          <w:rStyle w:val="Strong"/>
          <w:rFonts w:ascii="Arial" w:eastAsia="Arial" w:hAnsi="Arial" w:cs="Arial"/>
          <w:b w:val="0"/>
          <w:bCs w:val="0"/>
          <w:color w:val="404040" w:themeColor="text1" w:themeTint="BF"/>
          <w:sz w:val="18"/>
          <w:szCs w:val="18"/>
          <w:vertAlign w:val="subscript"/>
        </w:rPr>
        <w:t>2</w:t>
      </w:r>
      <w:r w:rsidRPr="00AE75F7">
        <w:rPr>
          <w:rStyle w:val="Strong"/>
          <w:rFonts w:ascii="Arial" w:eastAsia="Arial" w:hAnsi="Arial" w:cs="Arial"/>
          <w:b w:val="0"/>
          <w:bCs w:val="0"/>
          <w:color w:val="404040" w:themeColor="text1" w:themeTint="BF"/>
          <w:sz w:val="18"/>
          <w:szCs w:val="18"/>
        </w:rPr>
        <w:t xml:space="preserve"> blends (up to 25</w:t>
      </w:r>
      <w:r>
        <w:rPr>
          <w:rStyle w:val="Strong"/>
          <w:rFonts w:ascii="Arial" w:eastAsia="Arial" w:hAnsi="Arial" w:cs="Arial"/>
          <w:b w:val="0"/>
          <w:bCs w:val="0"/>
          <w:color w:val="404040" w:themeColor="text1" w:themeTint="BF"/>
          <w:sz w:val="18"/>
          <w:szCs w:val="18"/>
        </w:rPr>
        <w:t> </w:t>
      </w:r>
      <w:r w:rsidRPr="00AE75F7">
        <w:rPr>
          <w:rStyle w:val="Strong"/>
          <w:rFonts w:ascii="Arial" w:eastAsia="Arial" w:hAnsi="Arial" w:cs="Arial"/>
          <w:b w:val="0"/>
          <w:bCs w:val="0"/>
          <w:color w:val="404040" w:themeColor="text1" w:themeTint="BF"/>
          <w:sz w:val="18"/>
          <w:szCs w:val="18"/>
        </w:rPr>
        <w:t xml:space="preserve">vol.%) with negligible changes on product quality and process </w:t>
      </w:r>
      <w:r w:rsidRPr="00AE75F7">
        <w:rPr>
          <w:rStyle w:val="Strong"/>
          <w:rFonts w:ascii="Arial" w:eastAsia="Arial" w:hAnsi="Arial" w:cs="Arial"/>
          <w:b w:val="0"/>
          <w:bCs w:val="0"/>
          <w:color w:val="404040" w:themeColor="text1" w:themeTint="BF"/>
          <w:sz w:val="18"/>
          <w:szCs w:val="18"/>
        </w:rPr>
        <w:lastRenderedPageBreak/>
        <w:t>performance, and with no modification to current operations and plant layout needed (other than changes to plant equipment to accommodate H</w:t>
      </w:r>
      <w:r w:rsidRPr="00AE75F7">
        <w:rPr>
          <w:rStyle w:val="Strong"/>
          <w:rFonts w:ascii="Arial" w:eastAsia="Arial" w:hAnsi="Arial" w:cs="Arial"/>
          <w:b w:val="0"/>
          <w:bCs w:val="0"/>
          <w:color w:val="404040" w:themeColor="text1" w:themeTint="BF"/>
          <w:sz w:val="18"/>
          <w:szCs w:val="18"/>
          <w:vertAlign w:val="subscript"/>
        </w:rPr>
        <w:t>2</w:t>
      </w:r>
      <w:r w:rsidRPr="00AE75F7">
        <w:rPr>
          <w:rStyle w:val="Strong"/>
          <w:rFonts w:ascii="Arial" w:eastAsia="Arial" w:hAnsi="Arial" w:cs="Arial"/>
          <w:b w:val="0"/>
          <w:bCs w:val="0"/>
          <w:color w:val="404040" w:themeColor="text1" w:themeTint="BF"/>
          <w:sz w:val="18"/>
          <w:szCs w:val="18"/>
        </w:rPr>
        <w:t xml:space="preserve"> in the valves and flowmeters).</w:t>
      </w:r>
    </w:p>
    <w:p w14:paraId="42ABAFAD" w14:textId="12E31CA1" w:rsidR="00653EBA" w:rsidRDefault="00653EBA" w:rsidP="004E6827">
      <w:pPr>
        <w:jc w:val="both"/>
        <w:rPr>
          <w:rStyle w:val="Strong"/>
          <w:rFonts w:ascii="Arial" w:eastAsia="Arial" w:hAnsi="Arial" w:cs="Arial"/>
          <w:color w:val="404040" w:themeColor="text1" w:themeTint="BF"/>
          <w:sz w:val="18"/>
          <w:szCs w:val="18"/>
        </w:rPr>
      </w:pPr>
      <w:r>
        <w:rPr>
          <w:rStyle w:val="Strong"/>
          <w:rFonts w:ascii="Arial" w:eastAsia="Arial" w:hAnsi="Arial" w:cs="Arial"/>
          <w:color w:val="404040" w:themeColor="text1" w:themeTint="BF"/>
          <w:sz w:val="18"/>
          <w:szCs w:val="18"/>
        </w:rPr>
        <w:t>Computational models – cement kiln and iron ore pelletiser</w:t>
      </w:r>
    </w:p>
    <w:p w14:paraId="71759AFC" w14:textId="54BFEBE3" w:rsidR="00A96984" w:rsidRDefault="00F1435C" w:rsidP="004E6827">
      <w:pPr>
        <w:jc w:val="both"/>
        <w:rPr>
          <w:rStyle w:val="Strong"/>
          <w:rFonts w:ascii="Arial" w:eastAsia="Arial" w:hAnsi="Arial" w:cs="Arial"/>
          <w:b w:val="0"/>
          <w:bCs w:val="0"/>
          <w:color w:val="404040" w:themeColor="text1" w:themeTint="BF"/>
          <w:sz w:val="18"/>
          <w:szCs w:val="18"/>
        </w:rPr>
      </w:pPr>
      <w:r w:rsidRPr="00F1435C">
        <w:rPr>
          <w:rStyle w:val="Strong"/>
          <w:rFonts w:ascii="Arial" w:eastAsia="Arial" w:hAnsi="Arial" w:cs="Arial"/>
          <w:b w:val="0"/>
          <w:bCs w:val="0"/>
          <w:color w:val="404040" w:themeColor="text1" w:themeTint="BF"/>
          <w:sz w:val="18"/>
          <w:szCs w:val="18"/>
        </w:rPr>
        <w:t xml:space="preserve">The CFD analysis of a simplified NG-fired rotary kiln burner configuration identified that </w:t>
      </w:r>
      <w:r>
        <w:rPr>
          <w:rStyle w:val="Strong"/>
          <w:rFonts w:ascii="Arial" w:eastAsia="Arial" w:hAnsi="Arial" w:cs="Arial"/>
          <w:b w:val="0"/>
          <w:bCs w:val="0"/>
          <w:color w:val="404040" w:themeColor="text1" w:themeTint="BF"/>
          <w:sz w:val="18"/>
          <w:szCs w:val="18"/>
        </w:rPr>
        <w:t>H</w:t>
      </w:r>
      <w:r w:rsidRPr="00F1435C">
        <w:rPr>
          <w:rStyle w:val="Strong"/>
          <w:rFonts w:ascii="Arial" w:eastAsia="Arial" w:hAnsi="Arial" w:cs="Arial"/>
          <w:b w:val="0"/>
          <w:bCs w:val="0"/>
          <w:color w:val="404040" w:themeColor="text1" w:themeTint="BF"/>
          <w:sz w:val="18"/>
          <w:szCs w:val="18"/>
          <w:vertAlign w:val="subscript"/>
        </w:rPr>
        <w:t>2</w:t>
      </w:r>
      <w:r w:rsidRPr="00F1435C">
        <w:rPr>
          <w:rStyle w:val="Strong"/>
          <w:rFonts w:ascii="Arial" w:eastAsia="Arial" w:hAnsi="Arial" w:cs="Arial"/>
          <w:b w:val="0"/>
          <w:bCs w:val="0"/>
          <w:color w:val="404040" w:themeColor="text1" w:themeTint="BF"/>
          <w:sz w:val="18"/>
          <w:szCs w:val="18"/>
        </w:rPr>
        <w:t xml:space="preserve"> blending by up to 10</w:t>
      </w:r>
      <w:r>
        <w:rPr>
          <w:rStyle w:val="Strong"/>
          <w:rFonts w:ascii="Arial" w:eastAsia="Arial" w:hAnsi="Arial" w:cs="Arial"/>
          <w:b w:val="0"/>
          <w:bCs w:val="0"/>
          <w:color w:val="404040" w:themeColor="text1" w:themeTint="BF"/>
          <w:sz w:val="18"/>
          <w:szCs w:val="18"/>
        </w:rPr>
        <w:t> vol</w:t>
      </w:r>
      <w:r w:rsidRPr="00F1435C">
        <w:rPr>
          <w:rStyle w:val="Strong"/>
          <w:rFonts w:ascii="Arial" w:eastAsia="Arial" w:hAnsi="Arial" w:cs="Arial"/>
          <w:b w:val="0"/>
          <w:bCs w:val="0"/>
          <w:color w:val="404040" w:themeColor="text1" w:themeTint="BF"/>
          <w:sz w:val="18"/>
          <w:szCs w:val="18"/>
        </w:rPr>
        <w:t>% will introduce only relatively small changes to the flame and burner performance. On the other hand, for the 25% H</w:t>
      </w:r>
      <w:r w:rsidRPr="00F1435C">
        <w:rPr>
          <w:rStyle w:val="Strong"/>
          <w:rFonts w:ascii="Arial" w:eastAsia="Arial" w:hAnsi="Arial" w:cs="Arial"/>
          <w:b w:val="0"/>
          <w:bCs w:val="0"/>
          <w:color w:val="404040" w:themeColor="text1" w:themeTint="BF"/>
          <w:sz w:val="18"/>
          <w:szCs w:val="18"/>
          <w:vertAlign w:val="subscript"/>
        </w:rPr>
        <w:t>2</w:t>
      </w:r>
      <w:r w:rsidRPr="00F1435C">
        <w:rPr>
          <w:rStyle w:val="Strong"/>
          <w:rFonts w:ascii="Arial" w:eastAsia="Arial" w:hAnsi="Arial" w:cs="Arial"/>
          <w:b w:val="0"/>
          <w:bCs w:val="0"/>
          <w:color w:val="404040" w:themeColor="text1" w:themeTint="BF"/>
          <w:sz w:val="18"/>
          <w:szCs w:val="18"/>
        </w:rPr>
        <w:t xml:space="preserve"> blending scenario, a significant increase in NOx emissions (70% increase in comparison with the baseline case being NG-only) was found to be likely, indicating that appropriate NOx control strategies would likely be needed to accommodate this level of H</w:t>
      </w:r>
      <w:r w:rsidRPr="00F1435C">
        <w:rPr>
          <w:rStyle w:val="Strong"/>
          <w:rFonts w:ascii="Arial" w:eastAsia="Arial" w:hAnsi="Arial" w:cs="Arial"/>
          <w:b w:val="0"/>
          <w:bCs w:val="0"/>
          <w:color w:val="404040" w:themeColor="text1" w:themeTint="BF"/>
          <w:sz w:val="18"/>
          <w:szCs w:val="18"/>
          <w:vertAlign w:val="subscript"/>
        </w:rPr>
        <w:t>2</w:t>
      </w:r>
      <w:r w:rsidRPr="00F1435C">
        <w:rPr>
          <w:rStyle w:val="Strong"/>
          <w:rFonts w:ascii="Arial" w:eastAsia="Arial" w:hAnsi="Arial" w:cs="Arial"/>
          <w:b w:val="0"/>
          <w:bCs w:val="0"/>
          <w:color w:val="404040" w:themeColor="text1" w:themeTint="BF"/>
          <w:sz w:val="18"/>
          <w:szCs w:val="18"/>
        </w:rPr>
        <w:t xml:space="preserve"> blending. The analysis also showed that burner modifications are likely to be able to overcome this increase. For example, reducing the primary air ratio was found to significantly reduce the NOx emissions for the H</w:t>
      </w:r>
      <w:r w:rsidRPr="00F1435C">
        <w:rPr>
          <w:rStyle w:val="Strong"/>
          <w:rFonts w:ascii="Arial" w:eastAsia="Arial" w:hAnsi="Arial" w:cs="Arial"/>
          <w:b w:val="0"/>
          <w:bCs w:val="0"/>
          <w:color w:val="404040" w:themeColor="text1" w:themeTint="BF"/>
          <w:sz w:val="18"/>
          <w:szCs w:val="18"/>
          <w:vertAlign w:val="subscript"/>
        </w:rPr>
        <w:t>2</w:t>
      </w:r>
      <w:r w:rsidRPr="00F1435C">
        <w:rPr>
          <w:rStyle w:val="Strong"/>
          <w:rFonts w:ascii="Arial" w:eastAsia="Arial" w:hAnsi="Arial" w:cs="Arial"/>
          <w:b w:val="0"/>
          <w:bCs w:val="0"/>
          <w:color w:val="404040" w:themeColor="text1" w:themeTint="BF"/>
          <w:sz w:val="18"/>
          <w:szCs w:val="18"/>
        </w:rPr>
        <w:t xml:space="preserve"> blended fuel for the burner configuration assessed here. </w:t>
      </w:r>
      <w:r>
        <w:rPr>
          <w:rStyle w:val="Strong"/>
          <w:rFonts w:ascii="Arial" w:eastAsia="Arial" w:hAnsi="Arial" w:cs="Arial"/>
          <w:b w:val="0"/>
          <w:bCs w:val="0"/>
          <w:color w:val="404040" w:themeColor="text1" w:themeTint="BF"/>
          <w:sz w:val="18"/>
          <w:szCs w:val="18"/>
        </w:rPr>
        <w:t xml:space="preserve">Similar results were also found for an iron ore pelletiser. </w:t>
      </w:r>
      <w:r w:rsidRPr="00F1435C">
        <w:rPr>
          <w:rStyle w:val="Strong"/>
          <w:rFonts w:ascii="Arial" w:eastAsia="Arial" w:hAnsi="Arial" w:cs="Arial"/>
          <w:b w:val="0"/>
          <w:bCs w:val="0"/>
          <w:color w:val="404040" w:themeColor="text1" w:themeTint="BF"/>
          <w:sz w:val="18"/>
          <w:szCs w:val="18"/>
        </w:rPr>
        <w:t>Nevertheless, these details are all configuration specific, so would need to be optimised on a case-by-case basis.</w:t>
      </w:r>
    </w:p>
    <w:p w14:paraId="0CAD071F" w14:textId="13E71B3B" w:rsidR="00653EBA" w:rsidRDefault="00653EBA" w:rsidP="004E6827">
      <w:pPr>
        <w:jc w:val="both"/>
        <w:rPr>
          <w:rStyle w:val="Strong"/>
          <w:rFonts w:ascii="Arial" w:eastAsia="Arial" w:hAnsi="Arial" w:cs="Arial"/>
          <w:color w:val="404040" w:themeColor="text1" w:themeTint="BF"/>
          <w:sz w:val="18"/>
          <w:szCs w:val="18"/>
        </w:rPr>
      </w:pPr>
      <w:r>
        <w:rPr>
          <w:rStyle w:val="Strong"/>
          <w:rFonts w:ascii="Arial" w:eastAsia="Arial" w:hAnsi="Arial" w:cs="Arial"/>
          <w:color w:val="404040" w:themeColor="text1" w:themeTint="BF"/>
          <w:sz w:val="18"/>
          <w:szCs w:val="18"/>
        </w:rPr>
        <w:t>Experimental investigation –characterisation of hydrogen / natural gas flames</w:t>
      </w:r>
    </w:p>
    <w:p w14:paraId="5F099658" w14:textId="34C3A0DF" w:rsidR="007704B0" w:rsidRDefault="004E6827" w:rsidP="004E6827">
      <w:pPr>
        <w:jc w:val="both"/>
        <w:rPr>
          <w:rStyle w:val="Strong"/>
          <w:rFonts w:ascii="Arial" w:eastAsia="Arial" w:hAnsi="Arial" w:cs="Arial"/>
          <w:b w:val="0"/>
          <w:bCs w:val="0"/>
          <w:color w:val="404040" w:themeColor="text1" w:themeTint="BF"/>
          <w:sz w:val="18"/>
          <w:szCs w:val="18"/>
        </w:rPr>
      </w:pPr>
      <w:r>
        <w:rPr>
          <w:rStyle w:val="Strong"/>
          <w:rFonts w:ascii="Arial" w:eastAsia="Arial" w:hAnsi="Arial" w:cs="Arial"/>
          <w:b w:val="0"/>
          <w:bCs w:val="0"/>
          <w:color w:val="404040" w:themeColor="text1" w:themeTint="BF"/>
          <w:sz w:val="18"/>
          <w:szCs w:val="18"/>
        </w:rPr>
        <w:t xml:space="preserve">A series of experimental investigations </w:t>
      </w:r>
      <w:r w:rsidRPr="004E6827">
        <w:rPr>
          <w:rStyle w:val="Strong"/>
          <w:rFonts w:ascii="Arial" w:eastAsia="Arial" w:hAnsi="Arial" w:cs="Arial"/>
          <w:b w:val="0"/>
          <w:bCs w:val="0"/>
          <w:color w:val="404040" w:themeColor="text1" w:themeTint="BF"/>
          <w:sz w:val="18"/>
          <w:szCs w:val="18"/>
        </w:rPr>
        <w:t>quantif</w:t>
      </w:r>
      <w:r>
        <w:rPr>
          <w:rStyle w:val="Strong"/>
          <w:rFonts w:ascii="Arial" w:eastAsia="Arial" w:hAnsi="Arial" w:cs="Arial"/>
          <w:b w:val="0"/>
          <w:bCs w:val="0"/>
          <w:color w:val="404040" w:themeColor="text1" w:themeTint="BF"/>
          <w:sz w:val="18"/>
          <w:szCs w:val="18"/>
        </w:rPr>
        <w:t>ied</w:t>
      </w:r>
      <w:r w:rsidRPr="004E6827">
        <w:rPr>
          <w:rStyle w:val="Strong"/>
          <w:rFonts w:ascii="Arial" w:eastAsia="Arial" w:hAnsi="Arial" w:cs="Arial"/>
          <w:b w:val="0"/>
          <w:bCs w:val="0"/>
          <w:color w:val="404040" w:themeColor="text1" w:themeTint="BF"/>
          <w:sz w:val="18"/>
          <w:szCs w:val="18"/>
        </w:rPr>
        <w:t xml:space="preserve"> the effects of hydrogen addition</w:t>
      </w:r>
      <w:r>
        <w:rPr>
          <w:rStyle w:val="Strong"/>
          <w:rFonts w:ascii="Arial" w:eastAsia="Arial" w:hAnsi="Arial" w:cs="Arial"/>
          <w:b w:val="0"/>
          <w:bCs w:val="0"/>
          <w:color w:val="404040" w:themeColor="text1" w:themeTint="BF"/>
          <w:sz w:val="18"/>
          <w:szCs w:val="18"/>
        </w:rPr>
        <w:t xml:space="preserve"> into a range of burners</w:t>
      </w:r>
      <w:r w:rsidRPr="004E6827">
        <w:rPr>
          <w:rStyle w:val="Strong"/>
          <w:rFonts w:ascii="Arial" w:eastAsia="Arial" w:hAnsi="Arial" w:cs="Arial"/>
          <w:b w:val="0"/>
          <w:bCs w:val="0"/>
          <w:color w:val="404040" w:themeColor="text1" w:themeTint="BF"/>
          <w:sz w:val="18"/>
          <w:szCs w:val="18"/>
        </w:rPr>
        <w:t xml:space="preserve"> under industry relevant conditions, each of which include the testing of a potential solution strategy to overcome one or more of the challenges associated with the use of hydrogen. The diverse burner designs and experimental methods chosen provides both specific and general understanding of the implications of hydrogen addition to industrial burners, as well as valuable and novel insights to how hydrogen might be more smoothly integrated into the current gas infrastructure.</w:t>
      </w:r>
      <w:r w:rsidR="00383C14">
        <w:rPr>
          <w:rStyle w:val="Strong"/>
          <w:rFonts w:ascii="Arial" w:eastAsia="Arial" w:hAnsi="Arial" w:cs="Arial"/>
          <w:b w:val="0"/>
          <w:bCs w:val="0"/>
          <w:color w:val="404040" w:themeColor="text1" w:themeTint="BF"/>
          <w:sz w:val="18"/>
          <w:szCs w:val="18"/>
        </w:rPr>
        <w:t xml:space="preserve"> </w:t>
      </w:r>
      <w:r w:rsidR="007704B0">
        <w:rPr>
          <w:rStyle w:val="Strong"/>
          <w:rFonts w:ascii="Arial" w:eastAsia="Arial" w:hAnsi="Arial" w:cs="Arial"/>
          <w:b w:val="0"/>
          <w:bCs w:val="0"/>
          <w:color w:val="404040" w:themeColor="text1" w:themeTint="BF"/>
          <w:sz w:val="18"/>
          <w:szCs w:val="18"/>
        </w:rPr>
        <w:t xml:space="preserve">This work has been published </w:t>
      </w:r>
      <w:r w:rsidR="00383C14">
        <w:rPr>
          <w:rStyle w:val="Strong"/>
          <w:rFonts w:ascii="Arial" w:eastAsia="Arial" w:hAnsi="Arial" w:cs="Arial"/>
          <w:b w:val="0"/>
          <w:bCs w:val="0"/>
          <w:color w:val="404040" w:themeColor="text1" w:themeTint="BF"/>
          <w:sz w:val="18"/>
          <w:szCs w:val="18"/>
        </w:rPr>
        <w:t>as</w:t>
      </w:r>
      <w:r w:rsidR="007704B0">
        <w:rPr>
          <w:rStyle w:val="Strong"/>
          <w:rFonts w:ascii="Arial" w:eastAsia="Arial" w:hAnsi="Arial" w:cs="Arial"/>
          <w:b w:val="0"/>
          <w:bCs w:val="0"/>
          <w:color w:val="404040" w:themeColor="text1" w:themeTint="BF"/>
          <w:sz w:val="18"/>
          <w:szCs w:val="18"/>
        </w:rPr>
        <w:t>:</w:t>
      </w:r>
    </w:p>
    <w:p w14:paraId="14F674B5" w14:textId="70C71CC4" w:rsidR="0034360B" w:rsidRPr="007704B0" w:rsidRDefault="0034360B"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7704B0">
        <w:rPr>
          <w:rStyle w:val="Strong"/>
          <w:rFonts w:ascii="Arial" w:eastAsia="Arial" w:hAnsi="Arial" w:cs="Arial"/>
          <w:b w:val="0"/>
          <w:bCs w:val="0"/>
          <w:color w:val="404040" w:themeColor="text1" w:themeTint="BF"/>
          <w:sz w:val="18"/>
          <w:szCs w:val="18"/>
        </w:rPr>
        <w:t>Performance of biogas blended with hydrogen in a commercial self-aspirating burner</w:t>
      </w:r>
      <w:r w:rsidR="007704B0" w:rsidRPr="007704B0">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International Journal of Hydrogen Energy</w:t>
      </w:r>
      <w:r w:rsidR="00CB281D">
        <w:rPr>
          <w:rStyle w:val="Strong"/>
          <w:rFonts w:ascii="Arial" w:eastAsia="Arial" w:hAnsi="Arial" w:cs="Arial"/>
          <w:b w:val="0"/>
          <w:bCs w:val="0"/>
          <w:color w:val="404040" w:themeColor="text1" w:themeTint="BF"/>
          <w:sz w:val="18"/>
          <w:szCs w:val="18"/>
        </w:rPr>
        <w:t>.</w:t>
      </w:r>
      <w:r w:rsidRPr="007704B0">
        <w:rPr>
          <w:rStyle w:val="Strong"/>
          <w:rFonts w:ascii="Arial" w:eastAsia="Arial" w:hAnsi="Arial" w:cs="Arial"/>
          <w:b w:val="0"/>
          <w:bCs w:val="0"/>
          <w:color w:val="404040" w:themeColor="text1" w:themeTint="BF"/>
          <w:sz w:val="18"/>
          <w:szCs w:val="18"/>
        </w:rPr>
        <w:t xml:space="preserve"> </w:t>
      </w:r>
      <w:hyperlink r:id="rId8" w:history="1">
        <w:r w:rsidR="00DA1C4D" w:rsidRPr="00DA1C4D">
          <w:rPr>
            <w:rStyle w:val="Hyperlink"/>
            <w:rFonts w:ascii="Arial" w:eastAsia="Arial" w:hAnsi="Arial" w:cs="Arial"/>
            <w:sz w:val="18"/>
            <w:szCs w:val="18"/>
          </w:rPr>
          <w:t>DOI: 10.1016/j.ijhydene.2023.11.322</w:t>
        </w:r>
      </w:hyperlink>
    </w:p>
    <w:p w14:paraId="59B924F0" w14:textId="5AFB2A03" w:rsidR="0034360B" w:rsidRDefault="0034360B"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7704B0">
        <w:rPr>
          <w:rStyle w:val="Strong"/>
          <w:rFonts w:ascii="Arial" w:eastAsia="Arial" w:hAnsi="Arial" w:cs="Arial"/>
          <w:b w:val="0"/>
          <w:bCs w:val="0"/>
          <w:color w:val="404040" w:themeColor="text1" w:themeTint="BF"/>
          <w:sz w:val="18"/>
          <w:szCs w:val="18"/>
        </w:rPr>
        <w:t>Characterisation of turbulent non-premixed hydrogen-blended flames in a scaled industrial low-swirl burner</w:t>
      </w:r>
      <w:r w:rsidR="007704B0" w:rsidRPr="007704B0">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International Journal of Hydrogen Energy</w:t>
      </w:r>
      <w:r w:rsidR="007704B0">
        <w:rPr>
          <w:rStyle w:val="Strong"/>
          <w:rFonts w:ascii="Arial" w:eastAsia="Arial" w:hAnsi="Arial" w:cs="Arial"/>
          <w:b w:val="0"/>
          <w:bCs w:val="0"/>
          <w:color w:val="404040" w:themeColor="text1" w:themeTint="BF"/>
          <w:sz w:val="18"/>
          <w:szCs w:val="18"/>
        </w:rPr>
        <w:t>.</w:t>
      </w:r>
      <w:r w:rsidRPr="007704B0">
        <w:rPr>
          <w:rStyle w:val="Strong"/>
          <w:rFonts w:ascii="Arial" w:eastAsia="Arial" w:hAnsi="Arial" w:cs="Arial"/>
          <w:b w:val="0"/>
          <w:bCs w:val="0"/>
          <w:color w:val="404040" w:themeColor="text1" w:themeTint="BF"/>
          <w:sz w:val="18"/>
          <w:szCs w:val="18"/>
        </w:rPr>
        <w:t xml:space="preserve"> </w:t>
      </w:r>
      <w:hyperlink r:id="rId9" w:history="1">
        <w:r w:rsidR="007704B0" w:rsidRPr="007704B0">
          <w:rPr>
            <w:rStyle w:val="Hyperlink"/>
            <w:rFonts w:ascii="Arial" w:eastAsia="Arial" w:hAnsi="Arial" w:cs="Arial"/>
            <w:sz w:val="18"/>
            <w:szCs w:val="18"/>
          </w:rPr>
          <w:t xml:space="preserve">DOI: </w:t>
        </w:r>
        <w:r w:rsidRPr="007704B0">
          <w:rPr>
            <w:rStyle w:val="Hyperlink"/>
            <w:rFonts w:ascii="Arial" w:eastAsia="Arial" w:hAnsi="Arial" w:cs="Arial"/>
            <w:sz w:val="18"/>
            <w:szCs w:val="18"/>
          </w:rPr>
          <w:t>10.1016/j.ijhydene.2023.11.164</w:t>
        </w:r>
      </w:hyperlink>
    </w:p>
    <w:p w14:paraId="59B9C0CF" w14:textId="56F41C33" w:rsidR="007704B0" w:rsidRDefault="007704B0"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34360B">
        <w:rPr>
          <w:rStyle w:val="Strong"/>
          <w:rFonts w:ascii="Arial" w:eastAsia="Arial" w:hAnsi="Arial" w:cs="Arial"/>
          <w:b w:val="0"/>
          <w:bCs w:val="0"/>
          <w:color w:val="404040" w:themeColor="text1" w:themeTint="BF"/>
          <w:sz w:val="18"/>
          <w:szCs w:val="18"/>
        </w:rPr>
        <w:t>Hydrogen addition to a commercial self-aspirating burner and assessment of a practical burner modification strategy to improve performance</w:t>
      </w:r>
      <w:r>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International Journal of Hydrogen Energy</w:t>
      </w:r>
      <w:r>
        <w:rPr>
          <w:rStyle w:val="Strong"/>
          <w:rFonts w:ascii="Arial" w:eastAsia="Arial" w:hAnsi="Arial" w:cs="Arial"/>
          <w:b w:val="0"/>
          <w:bCs w:val="0"/>
          <w:color w:val="404040" w:themeColor="text1" w:themeTint="BF"/>
          <w:sz w:val="18"/>
          <w:szCs w:val="18"/>
        </w:rPr>
        <w:t xml:space="preserve">. </w:t>
      </w:r>
      <w:hyperlink r:id="rId10" w:history="1">
        <w:r w:rsidRPr="007704B0">
          <w:rPr>
            <w:rStyle w:val="Hyperlink"/>
            <w:rFonts w:ascii="Arial" w:eastAsia="Arial" w:hAnsi="Arial" w:cs="Arial"/>
            <w:sz w:val="18"/>
            <w:szCs w:val="18"/>
          </w:rPr>
          <w:t>DOI: 10.1016/j.ijhydene.2023.06.230</w:t>
        </w:r>
      </w:hyperlink>
    </w:p>
    <w:p w14:paraId="1FAEE7A3" w14:textId="43BC2F49" w:rsidR="007704B0" w:rsidRDefault="007704B0"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7704B0">
        <w:rPr>
          <w:rStyle w:val="Strong"/>
          <w:rFonts w:ascii="Arial" w:eastAsia="Arial" w:hAnsi="Arial" w:cs="Arial"/>
          <w:b w:val="0"/>
          <w:bCs w:val="0"/>
          <w:color w:val="404040" w:themeColor="text1" w:themeTint="BF"/>
          <w:sz w:val="18"/>
          <w:szCs w:val="18"/>
        </w:rPr>
        <w:t>Toluene addition to turbulent H</w:t>
      </w:r>
      <w:r w:rsidRPr="007704B0">
        <w:rPr>
          <w:rStyle w:val="Strong"/>
          <w:rFonts w:ascii="Arial" w:eastAsia="Arial" w:hAnsi="Arial" w:cs="Arial"/>
          <w:b w:val="0"/>
          <w:bCs w:val="0"/>
          <w:color w:val="404040" w:themeColor="text1" w:themeTint="BF"/>
          <w:sz w:val="18"/>
          <w:szCs w:val="18"/>
          <w:vertAlign w:val="subscript"/>
        </w:rPr>
        <w:t>2</w:t>
      </w:r>
      <w:r w:rsidRPr="007704B0">
        <w:rPr>
          <w:rStyle w:val="Strong"/>
          <w:rFonts w:ascii="Arial" w:eastAsia="Arial" w:hAnsi="Arial" w:cs="Arial"/>
          <w:b w:val="0"/>
          <w:bCs w:val="0"/>
          <w:color w:val="404040" w:themeColor="text1" w:themeTint="BF"/>
          <w:sz w:val="18"/>
          <w:szCs w:val="18"/>
        </w:rPr>
        <w:t>/natural gas flames in bluff-body burners</w:t>
      </w:r>
      <w:r>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International Journal of Hydrogen Energy</w:t>
      </w:r>
      <w:r>
        <w:rPr>
          <w:rStyle w:val="Strong"/>
          <w:rFonts w:ascii="Arial" w:eastAsia="Arial" w:hAnsi="Arial" w:cs="Arial"/>
          <w:b w:val="0"/>
          <w:bCs w:val="0"/>
          <w:color w:val="404040" w:themeColor="text1" w:themeTint="BF"/>
          <w:sz w:val="18"/>
          <w:szCs w:val="18"/>
        </w:rPr>
        <w:t xml:space="preserve">. </w:t>
      </w:r>
      <w:hyperlink r:id="rId11" w:history="1">
        <w:r w:rsidRPr="007704B0">
          <w:rPr>
            <w:rStyle w:val="Hyperlink"/>
            <w:rFonts w:ascii="Arial" w:eastAsia="Arial" w:hAnsi="Arial" w:cs="Arial"/>
            <w:sz w:val="18"/>
            <w:szCs w:val="18"/>
          </w:rPr>
          <w:t>DOI: 10.1016/j.ijhydene.2022.06.154</w:t>
        </w:r>
      </w:hyperlink>
    </w:p>
    <w:p w14:paraId="765969DE" w14:textId="48AA30FC" w:rsidR="007704B0" w:rsidRDefault="007704B0"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7704B0">
        <w:rPr>
          <w:rStyle w:val="Strong"/>
          <w:rFonts w:ascii="Arial" w:eastAsia="Arial" w:hAnsi="Arial" w:cs="Arial"/>
          <w:b w:val="0"/>
          <w:bCs w:val="0"/>
          <w:color w:val="404040" w:themeColor="text1" w:themeTint="BF"/>
          <w:sz w:val="18"/>
          <w:szCs w:val="18"/>
        </w:rPr>
        <w:t>Fundamental insights into the effect of blending hydrogen flames with sooting biofuels</w:t>
      </w:r>
      <w:r>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Fuel</w:t>
      </w:r>
      <w:r>
        <w:rPr>
          <w:rStyle w:val="Strong"/>
          <w:rFonts w:ascii="Arial" w:eastAsia="Arial" w:hAnsi="Arial" w:cs="Arial"/>
          <w:b w:val="0"/>
          <w:bCs w:val="0"/>
          <w:color w:val="404040" w:themeColor="text1" w:themeTint="BF"/>
          <w:sz w:val="18"/>
          <w:szCs w:val="18"/>
        </w:rPr>
        <w:t xml:space="preserve">. </w:t>
      </w:r>
      <w:hyperlink r:id="rId12" w:history="1">
        <w:r w:rsidRPr="007704B0">
          <w:rPr>
            <w:rStyle w:val="Hyperlink"/>
            <w:rFonts w:ascii="Arial" w:eastAsia="Arial" w:hAnsi="Arial" w:cs="Arial"/>
            <w:sz w:val="18"/>
            <w:szCs w:val="18"/>
          </w:rPr>
          <w:t>DOI: 10.1016/j.fuel.2022.125618</w:t>
        </w:r>
      </w:hyperlink>
    </w:p>
    <w:p w14:paraId="124EB74B" w14:textId="30E10104" w:rsidR="007704B0" w:rsidRPr="007704B0" w:rsidRDefault="007704B0" w:rsidP="004E6827">
      <w:pPr>
        <w:pStyle w:val="ListParagraph"/>
        <w:numPr>
          <w:ilvl w:val="0"/>
          <w:numId w:val="14"/>
        </w:numPr>
        <w:ind w:left="567" w:hanging="283"/>
        <w:jc w:val="both"/>
        <w:rPr>
          <w:rStyle w:val="Strong"/>
          <w:rFonts w:ascii="Arial" w:eastAsia="Arial" w:hAnsi="Arial" w:cs="Arial"/>
          <w:b w:val="0"/>
          <w:bCs w:val="0"/>
          <w:color w:val="404040" w:themeColor="text1" w:themeTint="BF"/>
          <w:sz w:val="18"/>
          <w:szCs w:val="18"/>
        </w:rPr>
      </w:pPr>
      <w:r w:rsidRPr="007704B0">
        <w:rPr>
          <w:rStyle w:val="Strong"/>
          <w:rFonts w:ascii="Arial" w:eastAsia="Arial" w:hAnsi="Arial" w:cs="Arial"/>
          <w:b w:val="0"/>
          <w:bCs w:val="0"/>
          <w:color w:val="404040" w:themeColor="text1" w:themeTint="BF"/>
          <w:sz w:val="18"/>
          <w:szCs w:val="18"/>
        </w:rPr>
        <w:t xml:space="preserve">Hydrogen turbulent </w:t>
      </w:r>
      <w:proofErr w:type="spellStart"/>
      <w:r w:rsidRPr="007704B0">
        <w:rPr>
          <w:rStyle w:val="Strong"/>
          <w:rFonts w:ascii="Arial" w:eastAsia="Arial" w:hAnsi="Arial" w:cs="Arial"/>
          <w:b w:val="0"/>
          <w:bCs w:val="0"/>
          <w:color w:val="404040" w:themeColor="text1" w:themeTint="BF"/>
          <w:sz w:val="18"/>
          <w:szCs w:val="18"/>
        </w:rPr>
        <w:t>nonpremixed</w:t>
      </w:r>
      <w:proofErr w:type="spellEnd"/>
      <w:r w:rsidRPr="007704B0">
        <w:rPr>
          <w:rStyle w:val="Strong"/>
          <w:rFonts w:ascii="Arial" w:eastAsia="Arial" w:hAnsi="Arial" w:cs="Arial"/>
          <w:b w:val="0"/>
          <w:bCs w:val="0"/>
          <w:color w:val="404040" w:themeColor="text1" w:themeTint="BF"/>
          <w:sz w:val="18"/>
          <w:szCs w:val="18"/>
        </w:rPr>
        <w:t xml:space="preserve"> flames blended with spray or </w:t>
      </w:r>
      <w:proofErr w:type="spellStart"/>
      <w:r w:rsidRPr="007704B0">
        <w:rPr>
          <w:rStyle w:val="Strong"/>
          <w:rFonts w:ascii="Arial" w:eastAsia="Arial" w:hAnsi="Arial" w:cs="Arial"/>
          <w:b w:val="0"/>
          <w:bCs w:val="0"/>
          <w:color w:val="404040" w:themeColor="text1" w:themeTint="BF"/>
          <w:sz w:val="18"/>
          <w:szCs w:val="18"/>
        </w:rPr>
        <w:t>prevapourised</w:t>
      </w:r>
      <w:proofErr w:type="spellEnd"/>
      <w:r w:rsidRPr="007704B0">
        <w:rPr>
          <w:rStyle w:val="Strong"/>
          <w:rFonts w:ascii="Arial" w:eastAsia="Arial" w:hAnsi="Arial" w:cs="Arial"/>
          <w:b w:val="0"/>
          <w:bCs w:val="0"/>
          <w:color w:val="404040" w:themeColor="text1" w:themeTint="BF"/>
          <w:sz w:val="18"/>
          <w:szCs w:val="18"/>
        </w:rPr>
        <w:t xml:space="preserve"> biofuels</w:t>
      </w:r>
      <w:r>
        <w:rPr>
          <w:rStyle w:val="Strong"/>
          <w:rFonts w:ascii="Arial" w:eastAsia="Arial" w:hAnsi="Arial" w:cs="Arial"/>
          <w:b w:val="0"/>
          <w:bCs w:val="0"/>
          <w:color w:val="404040" w:themeColor="text1" w:themeTint="BF"/>
          <w:sz w:val="18"/>
          <w:szCs w:val="18"/>
        </w:rPr>
        <w:t xml:space="preserve">, </w:t>
      </w:r>
      <w:r w:rsidRPr="007704B0">
        <w:rPr>
          <w:rStyle w:val="Strong"/>
          <w:rFonts w:ascii="Arial" w:eastAsia="Arial" w:hAnsi="Arial" w:cs="Arial"/>
          <w:b w:val="0"/>
          <w:bCs w:val="0"/>
          <w:i/>
          <w:iCs/>
          <w:color w:val="404040" w:themeColor="text1" w:themeTint="BF"/>
          <w:sz w:val="18"/>
          <w:szCs w:val="18"/>
        </w:rPr>
        <w:t>International Journal of Hydrogen Energy</w:t>
      </w:r>
      <w:r>
        <w:rPr>
          <w:rStyle w:val="Strong"/>
          <w:rFonts w:ascii="Arial" w:eastAsia="Arial" w:hAnsi="Arial" w:cs="Arial"/>
          <w:b w:val="0"/>
          <w:bCs w:val="0"/>
          <w:color w:val="404040" w:themeColor="text1" w:themeTint="BF"/>
          <w:sz w:val="18"/>
          <w:szCs w:val="18"/>
        </w:rPr>
        <w:t xml:space="preserve">. </w:t>
      </w:r>
      <w:hyperlink r:id="rId13" w:history="1">
        <w:r w:rsidRPr="007704B0">
          <w:rPr>
            <w:rStyle w:val="Hyperlink"/>
            <w:rFonts w:ascii="Arial" w:eastAsia="Arial" w:hAnsi="Arial" w:cs="Arial"/>
            <w:sz w:val="18"/>
            <w:szCs w:val="18"/>
          </w:rPr>
          <w:t>DOI: 10.1016/j.ijhydene.2023.03.232</w:t>
        </w:r>
      </w:hyperlink>
    </w:p>
    <w:p w14:paraId="1618AB38" w14:textId="20B9ECC6" w:rsidR="00653EBA" w:rsidRDefault="00653EBA" w:rsidP="004E6827">
      <w:pPr>
        <w:jc w:val="both"/>
        <w:rPr>
          <w:rStyle w:val="Strong"/>
          <w:rFonts w:ascii="Arial" w:eastAsia="Arial" w:hAnsi="Arial" w:cs="Arial"/>
          <w:color w:val="404040" w:themeColor="text1" w:themeTint="BF"/>
          <w:sz w:val="18"/>
          <w:szCs w:val="18"/>
        </w:rPr>
      </w:pPr>
      <w:r>
        <w:rPr>
          <w:rStyle w:val="Strong"/>
          <w:rFonts w:ascii="Arial" w:eastAsia="Arial" w:hAnsi="Arial" w:cs="Arial"/>
          <w:color w:val="404040" w:themeColor="text1" w:themeTint="BF"/>
          <w:sz w:val="18"/>
          <w:szCs w:val="18"/>
        </w:rPr>
        <w:t>UV emissions from hydrogen flames</w:t>
      </w:r>
    </w:p>
    <w:p w14:paraId="0FC4DF4C" w14:textId="59449142" w:rsidR="00383C14" w:rsidRDefault="00383C14" w:rsidP="004E6827">
      <w:pPr>
        <w:jc w:val="both"/>
        <w:rPr>
          <w:rStyle w:val="Strong"/>
          <w:rFonts w:ascii="Arial" w:eastAsia="Arial" w:hAnsi="Arial" w:cs="Arial"/>
          <w:b w:val="0"/>
          <w:bCs w:val="0"/>
          <w:color w:val="404040" w:themeColor="text1" w:themeTint="BF"/>
          <w:sz w:val="18"/>
          <w:szCs w:val="18"/>
        </w:rPr>
      </w:pPr>
      <w:r w:rsidRPr="00383C14">
        <w:rPr>
          <w:rStyle w:val="Strong"/>
          <w:rFonts w:ascii="Arial" w:eastAsia="Arial" w:hAnsi="Arial" w:cs="Arial"/>
          <w:b w:val="0"/>
          <w:bCs w:val="0"/>
          <w:color w:val="404040" w:themeColor="text1" w:themeTint="BF"/>
          <w:sz w:val="18"/>
          <w:szCs w:val="18"/>
        </w:rPr>
        <w:t>The initial scoping results from flame spectrometry and irradiance measurements indicate that UV emissions from hydrogen flames are moderately higher than from natural gas flames, but still orders of magnitude less than the UV outside on an overcast day, where sun protection is generally not needed. On this basis, while hydrogen does emit a greater amount of radiation in the UV region compared with natural gas flames, this does not appear to be significant from a human skin exposure standpoint.</w:t>
      </w:r>
    </w:p>
    <w:p w14:paraId="4AE1182A" w14:textId="57CA783D" w:rsidR="6067BEDF" w:rsidRDefault="6067BEDF" w:rsidP="004E6827">
      <w:pPr>
        <w:jc w:val="both"/>
        <w:rPr>
          <w:rStyle w:val="Strong"/>
          <w:rFonts w:ascii="Arial" w:eastAsia="Arial" w:hAnsi="Arial" w:cs="Arial"/>
          <w:color w:val="404040" w:themeColor="text1" w:themeTint="BF"/>
          <w:sz w:val="18"/>
          <w:szCs w:val="18"/>
        </w:rPr>
      </w:pPr>
      <w:r w:rsidRPr="1C3B124F">
        <w:rPr>
          <w:rStyle w:val="Strong"/>
          <w:rFonts w:ascii="Arial" w:eastAsia="Arial" w:hAnsi="Arial" w:cs="Arial"/>
          <w:color w:val="404040" w:themeColor="text1" w:themeTint="BF"/>
          <w:sz w:val="18"/>
          <w:szCs w:val="18"/>
        </w:rPr>
        <w:t>Acknowledgements</w:t>
      </w:r>
    </w:p>
    <w:p w14:paraId="0BEF4C40" w14:textId="566C94AE" w:rsidR="0038497D" w:rsidRDefault="0038497D" w:rsidP="00F1435C">
      <w:pPr>
        <w:jc w:val="both"/>
        <w:rPr>
          <w:rStyle w:val="Strong"/>
          <w:rFonts w:ascii="Arial" w:eastAsia="Arial" w:hAnsi="Arial" w:cs="Arial"/>
          <w:b w:val="0"/>
          <w:bCs w:val="0"/>
          <w:color w:val="404040" w:themeColor="text1" w:themeTint="BF"/>
          <w:sz w:val="18"/>
          <w:szCs w:val="18"/>
        </w:rPr>
      </w:pPr>
      <w:r w:rsidRPr="0038497D">
        <w:rPr>
          <w:rStyle w:val="Strong"/>
          <w:rFonts w:ascii="Arial" w:eastAsia="Arial" w:hAnsi="Arial" w:cs="Arial"/>
          <w:b w:val="0"/>
          <w:bCs w:val="0"/>
          <w:color w:val="404040" w:themeColor="text1" w:themeTint="BF"/>
          <w:sz w:val="18"/>
          <w:szCs w:val="18"/>
        </w:rPr>
        <w:t xml:space="preserve">The </w:t>
      </w:r>
      <w:r>
        <w:rPr>
          <w:rStyle w:val="Strong"/>
          <w:rFonts w:ascii="Arial" w:eastAsia="Arial" w:hAnsi="Arial" w:cs="Arial"/>
          <w:b w:val="0"/>
          <w:bCs w:val="0"/>
          <w:color w:val="404040" w:themeColor="text1" w:themeTint="BF"/>
          <w:sz w:val="18"/>
          <w:szCs w:val="18"/>
        </w:rPr>
        <w:t xml:space="preserve">project </w:t>
      </w:r>
      <w:r w:rsidRPr="0038497D">
        <w:rPr>
          <w:rStyle w:val="Strong"/>
          <w:rFonts w:ascii="Arial" w:eastAsia="Arial" w:hAnsi="Arial" w:cs="Arial"/>
          <w:b w:val="0"/>
          <w:bCs w:val="0"/>
          <w:color w:val="404040" w:themeColor="text1" w:themeTint="BF"/>
          <w:sz w:val="18"/>
          <w:szCs w:val="18"/>
        </w:rPr>
        <w:t>team included representatives from</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The University of Adelaide</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Woodside</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GPA Engineering</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Fyfe Engineering</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FCT Combustion</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Australian Gas Infrastructure Group</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South Australian Office of the Technical Regulator</w:t>
      </w:r>
      <w:r w:rsidR="00F1435C">
        <w:rPr>
          <w:rStyle w:val="Strong"/>
          <w:rFonts w:ascii="Arial" w:eastAsia="Arial" w:hAnsi="Arial" w:cs="Arial"/>
          <w:b w:val="0"/>
          <w:bCs w:val="0"/>
          <w:color w:val="404040" w:themeColor="text1" w:themeTint="BF"/>
          <w:sz w:val="18"/>
          <w:szCs w:val="18"/>
        </w:rPr>
        <w:t xml:space="preserve">, </w:t>
      </w:r>
      <w:r>
        <w:rPr>
          <w:rStyle w:val="Strong"/>
          <w:rFonts w:ascii="Arial" w:eastAsia="Arial" w:hAnsi="Arial" w:cs="Arial"/>
          <w:b w:val="0"/>
          <w:bCs w:val="0"/>
          <w:color w:val="404040" w:themeColor="text1" w:themeTint="BF"/>
          <w:sz w:val="18"/>
          <w:szCs w:val="18"/>
        </w:rPr>
        <w:t>Jemena</w:t>
      </w:r>
      <w:r w:rsidR="00F1435C">
        <w:rPr>
          <w:rStyle w:val="Strong"/>
          <w:rFonts w:ascii="Arial" w:eastAsia="Arial" w:hAnsi="Arial" w:cs="Arial"/>
          <w:b w:val="0"/>
          <w:bCs w:val="0"/>
          <w:color w:val="404040" w:themeColor="text1" w:themeTint="BF"/>
          <w:sz w:val="18"/>
          <w:szCs w:val="18"/>
        </w:rPr>
        <w:t xml:space="preserve">. </w:t>
      </w:r>
      <w:r w:rsidRPr="0038497D">
        <w:rPr>
          <w:rStyle w:val="Strong"/>
          <w:rFonts w:ascii="Arial" w:eastAsia="Arial" w:hAnsi="Arial" w:cs="Arial"/>
          <w:b w:val="0"/>
          <w:bCs w:val="0"/>
          <w:color w:val="404040" w:themeColor="text1" w:themeTint="BF"/>
          <w:sz w:val="18"/>
          <w:szCs w:val="18"/>
        </w:rPr>
        <w:t>In addition to the Future Fuels CRC partners, valuable contributions were provided by</w:t>
      </w:r>
      <w:r w:rsidR="00F1435C">
        <w:rPr>
          <w:rStyle w:val="Strong"/>
          <w:rFonts w:ascii="Arial" w:eastAsia="Arial" w:hAnsi="Arial" w:cs="Arial"/>
          <w:b w:val="0"/>
          <w:bCs w:val="0"/>
          <w:color w:val="404040" w:themeColor="text1" w:themeTint="BF"/>
          <w:sz w:val="18"/>
          <w:szCs w:val="18"/>
        </w:rPr>
        <w:t xml:space="preserve"> </w:t>
      </w:r>
      <w:r w:rsidRPr="0038497D">
        <w:rPr>
          <w:rStyle w:val="Strong"/>
          <w:rFonts w:ascii="Arial" w:eastAsia="Arial" w:hAnsi="Arial" w:cs="Arial"/>
          <w:b w:val="0"/>
          <w:bCs w:val="0"/>
          <w:color w:val="404040" w:themeColor="text1" w:themeTint="BF"/>
          <w:sz w:val="18"/>
          <w:szCs w:val="18"/>
        </w:rPr>
        <w:t>Rio Tinto</w:t>
      </w:r>
      <w:r w:rsidR="00F1435C">
        <w:rPr>
          <w:rStyle w:val="Strong"/>
          <w:rFonts w:ascii="Arial" w:eastAsia="Arial" w:hAnsi="Arial" w:cs="Arial"/>
          <w:b w:val="0"/>
          <w:bCs w:val="0"/>
          <w:color w:val="404040" w:themeColor="text1" w:themeTint="BF"/>
          <w:sz w:val="18"/>
          <w:szCs w:val="18"/>
        </w:rPr>
        <w:t xml:space="preserve"> and </w:t>
      </w:r>
      <w:proofErr w:type="spellStart"/>
      <w:r>
        <w:rPr>
          <w:rStyle w:val="Strong"/>
          <w:rFonts w:ascii="Arial" w:eastAsia="Arial" w:hAnsi="Arial" w:cs="Arial"/>
          <w:b w:val="0"/>
          <w:bCs w:val="0"/>
          <w:color w:val="404040" w:themeColor="text1" w:themeTint="BF"/>
          <w:sz w:val="18"/>
          <w:szCs w:val="18"/>
        </w:rPr>
        <w:t>Adbri</w:t>
      </w:r>
      <w:proofErr w:type="spellEnd"/>
      <w:r w:rsidR="00F1435C">
        <w:rPr>
          <w:rStyle w:val="Strong"/>
          <w:rFonts w:ascii="Arial" w:eastAsia="Arial" w:hAnsi="Arial" w:cs="Arial"/>
          <w:b w:val="0"/>
          <w:bCs w:val="0"/>
          <w:color w:val="404040" w:themeColor="text1" w:themeTint="BF"/>
          <w:sz w:val="18"/>
          <w:szCs w:val="18"/>
        </w:rPr>
        <w:t>.</w:t>
      </w:r>
    </w:p>
    <w:p w14:paraId="4B3EECA6" w14:textId="0DED8631" w:rsidR="50F29594" w:rsidRDefault="50F29594" w:rsidP="004E6827">
      <w:pPr>
        <w:jc w:val="both"/>
        <w:rPr>
          <w:rStyle w:val="Strong"/>
          <w:rFonts w:ascii="Arial" w:eastAsia="Arial" w:hAnsi="Arial" w:cs="Arial"/>
          <w:b w:val="0"/>
          <w:bCs w:val="0"/>
          <w:color w:val="404040" w:themeColor="text1" w:themeTint="BF"/>
          <w:sz w:val="18"/>
          <w:szCs w:val="18"/>
        </w:rPr>
      </w:pPr>
      <w:r w:rsidRPr="42073801">
        <w:rPr>
          <w:rStyle w:val="Strong"/>
          <w:rFonts w:ascii="Arial" w:eastAsia="Arial" w:hAnsi="Arial" w:cs="Arial"/>
          <w:b w:val="0"/>
          <w:bCs w:val="0"/>
          <w:color w:val="404040" w:themeColor="text1" w:themeTint="BF"/>
          <w:sz w:val="18"/>
          <w:szCs w:val="18"/>
        </w:rPr>
        <w:t xml:space="preserve">Future Fuels CRC is supported through the Australian Government’s Cooperative Research Centres Program. We gratefully acknowledge the cash and in-kind support from all our research, </w:t>
      </w:r>
      <w:proofErr w:type="gramStart"/>
      <w:r w:rsidRPr="42073801">
        <w:rPr>
          <w:rStyle w:val="Strong"/>
          <w:rFonts w:ascii="Arial" w:eastAsia="Arial" w:hAnsi="Arial" w:cs="Arial"/>
          <w:b w:val="0"/>
          <w:bCs w:val="0"/>
          <w:color w:val="404040" w:themeColor="text1" w:themeTint="BF"/>
          <w:sz w:val="18"/>
          <w:szCs w:val="18"/>
        </w:rPr>
        <w:t>government</w:t>
      </w:r>
      <w:proofErr w:type="gramEnd"/>
      <w:r w:rsidRPr="42073801">
        <w:rPr>
          <w:rStyle w:val="Strong"/>
          <w:rFonts w:ascii="Arial" w:eastAsia="Arial" w:hAnsi="Arial" w:cs="Arial"/>
          <w:b w:val="0"/>
          <w:bCs w:val="0"/>
          <w:color w:val="404040" w:themeColor="text1" w:themeTint="BF"/>
          <w:sz w:val="18"/>
          <w:szCs w:val="18"/>
        </w:rPr>
        <w:t xml:space="preserve"> and industry participants.</w:t>
      </w:r>
    </w:p>
    <w:p w14:paraId="6DFE78C8" w14:textId="77777777" w:rsidR="00F1435C" w:rsidRDefault="00F1435C" w:rsidP="004E6827">
      <w:pPr>
        <w:jc w:val="both"/>
        <w:rPr>
          <w:rStyle w:val="Strong"/>
          <w:rFonts w:ascii="Arial" w:eastAsia="Arial" w:hAnsi="Arial" w:cs="Arial"/>
          <w:b w:val="0"/>
          <w:bCs w:val="0"/>
          <w:color w:val="404040" w:themeColor="text1" w:themeTint="BF"/>
          <w:sz w:val="18"/>
          <w:szCs w:val="18"/>
        </w:rPr>
      </w:pPr>
    </w:p>
    <w:p w14:paraId="2D172958" w14:textId="077F48A4" w:rsidR="50F29594" w:rsidRDefault="250EF543" w:rsidP="42073801">
      <w:pPr>
        <w:jc w:val="center"/>
      </w:pPr>
      <w:r>
        <w:rPr>
          <w:noProof/>
        </w:rPr>
        <w:drawing>
          <wp:inline distT="0" distB="0" distL="0" distR="0" wp14:anchorId="62EE048C" wp14:editId="76BD62E9">
            <wp:extent cx="4210050" cy="719217"/>
            <wp:effectExtent l="0" t="0" r="0" b="0"/>
            <wp:docPr id="292397996" name="Picture 29239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0050" cy="719217"/>
                    </a:xfrm>
                    <a:prstGeom prst="rect">
                      <a:avLst/>
                    </a:prstGeom>
                  </pic:spPr>
                </pic:pic>
              </a:graphicData>
            </a:graphic>
          </wp:inline>
        </w:drawing>
      </w:r>
    </w:p>
    <w:sectPr w:rsidR="50F2959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DE62" w14:textId="77777777" w:rsidR="002C4442" w:rsidRDefault="002C4442" w:rsidP="003E717D">
      <w:pPr>
        <w:spacing w:after="0" w:line="240" w:lineRule="auto"/>
      </w:pPr>
      <w:r>
        <w:separator/>
      </w:r>
    </w:p>
  </w:endnote>
  <w:endnote w:type="continuationSeparator" w:id="0">
    <w:p w14:paraId="34B068FD" w14:textId="77777777" w:rsidR="002C4442" w:rsidRDefault="002C4442" w:rsidP="003E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40B9B" w14:textId="77777777" w:rsidR="002C4442" w:rsidRDefault="002C4442" w:rsidP="003E717D">
      <w:pPr>
        <w:spacing w:after="0" w:line="240" w:lineRule="auto"/>
      </w:pPr>
      <w:r>
        <w:separator/>
      </w:r>
    </w:p>
  </w:footnote>
  <w:footnote w:type="continuationSeparator" w:id="0">
    <w:p w14:paraId="6BCB02D8" w14:textId="77777777" w:rsidR="002C4442" w:rsidRDefault="002C4442" w:rsidP="003E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332"/>
    <w:multiLevelType w:val="hybridMultilevel"/>
    <w:tmpl w:val="6C046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C6D62"/>
    <w:multiLevelType w:val="hybridMultilevel"/>
    <w:tmpl w:val="2DFA238E"/>
    <w:lvl w:ilvl="0" w:tplc="849260B8">
      <w:start w:val="1"/>
      <w:numFmt w:val="bullet"/>
      <w:lvlText w:val=""/>
      <w:lvlJc w:val="left"/>
      <w:pPr>
        <w:ind w:left="720" w:hanging="360"/>
      </w:pPr>
      <w:rPr>
        <w:rFonts w:ascii="Symbol" w:hAnsi="Symbol" w:hint="default"/>
      </w:rPr>
    </w:lvl>
    <w:lvl w:ilvl="1" w:tplc="F678E17C">
      <w:start w:val="1"/>
      <w:numFmt w:val="bullet"/>
      <w:lvlText w:val="o"/>
      <w:lvlJc w:val="left"/>
      <w:pPr>
        <w:ind w:left="1440" w:hanging="360"/>
      </w:pPr>
      <w:rPr>
        <w:rFonts w:ascii="Courier New" w:hAnsi="Courier New" w:hint="default"/>
      </w:rPr>
    </w:lvl>
    <w:lvl w:ilvl="2" w:tplc="DC40419C">
      <w:start w:val="1"/>
      <w:numFmt w:val="bullet"/>
      <w:lvlText w:val=""/>
      <w:lvlJc w:val="left"/>
      <w:pPr>
        <w:ind w:left="2160" w:hanging="360"/>
      </w:pPr>
      <w:rPr>
        <w:rFonts w:ascii="Wingdings" w:hAnsi="Wingdings" w:hint="default"/>
      </w:rPr>
    </w:lvl>
    <w:lvl w:ilvl="3" w:tplc="9078CA14">
      <w:start w:val="1"/>
      <w:numFmt w:val="bullet"/>
      <w:lvlText w:val=""/>
      <w:lvlJc w:val="left"/>
      <w:pPr>
        <w:ind w:left="2880" w:hanging="360"/>
      </w:pPr>
      <w:rPr>
        <w:rFonts w:ascii="Symbol" w:hAnsi="Symbol" w:hint="default"/>
      </w:rPr>
    </w:lvl>
    <w:lvl w:ilvl="4" w:tplc="E7ECD19C">
      <w:start w:val="1"/>
      <w:numFmt w:val="bullet"/>
      <w:lvlText w:val="o"/>
      <w:lvlJc w:val="left"/>
      <w:pPr>
        <w:ind w:left="3600" w:hanging="360"/>
      </w:pPr>
      <w:rPr>
        <w:rFonts w:ascii="Courier New" w:hAnsi="Courier New" w:hint="default"/>
      </w:rPr>
    </w:lvl>
    <w:lvl w:ilvl="5" w:tplc="0B0669E8">
      <w:start w:val="1"/>
      <w:numFmt w:val="bullet"/>
      <w:lvlText w:val=""/>
      <w:lvlJc w:val="left"/>
      <w:pPr>
        <w:ind w:left="4320" w:hanging="360"/>
      </w:pPr>
      <w:rPr>
        <w:rFonts w:ascii="Wingdings" w:hAnsi="Wingdings" w:hint="default"/>
      </w:rPr>
    </w:lvl>
    <w:lvl w:ilvl="6" w:tplc="6570E8F0">
      <w:start w:val="1"/>
      <w:numFmt w:val="bullet"/>
      <w:lvlText w:val=""/>
      <w:lvlJc w:val="left"/>
      <w:pPr>
        <w:ind w:left="5040" w:hanging="360"/>
      </w:pPr>
      <w:rPr>
        <w:rFonts w:ascii="Symbol" w:hAnsi="Symbol" w:hint="default"/>
      </w:rPr>
    </w:lvl>
    <w:lvl w:ilvl="7" w:tplc="EE48CB6E">
      <w:start w:val="1"/>
      <w:numFmt w:val="bullet"/>
      <w:lvlText w:val="o"/>
      <w:lvlJc w:val="left"/>
      <w:pPr>
        <w:ind w:left="5760" w:hanging="360"/>
      </w:pPr>
      <w:rPr>
        <w:rFonts w:ascii="Courier New" w:hAnsi="Courier New" w:hint="default"/>
      </w:rPr>
    </w:lvl>
    <w:lvl w:ilvl="8" w:tplc="CDB406B6">
      <w:start w:val="1"/>
      <w:numFmt w:val="bullet"/>
      <w:lvlText w:val=""/>
      <w:lvlJc w:val="left"/>
      <w:pPr>
        <w:ind w:left="6480" w:hanging="360"/>
      </w:pPr>
      <w:rPr>
        <w:rFonts w:ascii="Wingdings" w:hAnsi="Wingdings" w:hint="default"/>
      </w:rPr>
    </w:lvl>
  </w:abstractNum>
  <w:abstractNum w:abstractNumId="2" w15:restartNumberingAfterBreak="0">
    <w:nsid w:val="260C5FA6"/>
    <w:multiLevelType w:val="hybridMultilevel"/>
    <w:tmpl w:val="171C11F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7B57E34"/>
    <w:multiLevelType w:val="hybridMultilevel"/>
    <w:tmpl w:val="E4900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2B7FCB"/>
    <w:multiLevelType w:val="hybridMultilevel"/>
    <w:tmpl w:val="C1182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28309C"/>
    <w:multiLevelType w:val="hybridMultilevel"/>
    <w:tmpl w:val="06B46A38"/>
    <w:lvl w:ilvl="0" w:tplc="DD964FB8">
      <w:numFmt w:val="bullet"/>
      <w:lvlText w:val="•"/>
      <w:lvlJc w:val="left"/>
      <w:pPr>
        <w:ind w:left="1080" w:hanging="36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3423A3F"/>
    <w:multiLevelType w:val="multilevel"/>
    <w:tmpl w:val="69C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10966"/>
    <w:multiLevelType w:val="hybridMultilevel"/>
    <w:tmpl w:val="91808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5852EF"/>
    <w:multiLevelType w:val="hybridMultilevel"/>
    <w:tmpl w:val="B0C4D246"/>
    <w:lvl w:ilvl="0" w:tplc="DB26E89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F03314"/>
    <w:multiLevelType w:val="hybridMultilevel"/>
    <w:tmpl w:val="B0ECDDEA"/>
    <w:lvl w:ilvl="0" w:tplc="DD964FB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B014CC"/>
    <w:multiLevelType w:val="hybridMultilevel"/>
    <w:tmpl w:val="0F4A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B05273"/>
    <w:multiLevelType w:val="hybridMultilevel"/>
    <w:tmpl w:val="BBA2E510"/>
    <w:lvl w:ilvl="0" w:tplc="3A1E0C30">
      <w:start w:val="1"/>
      <w:numFmt w:val="bullet"/>
      <w:lvlText w:val=""/>
      <w:lvlJc w:val="left"/>
      <w:pPr>
        <w:ind w:left="720" w:hanging="360"/>
      </w:pPr>
      <w:rPr>
        <w:rFonts w:ascii="Symbol" w:hAnsi="Symbol" w:hint="default"/>
      </w:rPr>
    </w:lvl>
    <w:lvl w:ilvl="1" w:tplc="DDF0DE30">
      <w:start w:val="1"/>
      <w:numFmt w:val="bullet"/>
      <w:lvlText w:val="o"/>
      <w:lvlJc w:val="left"/>
      <w:pPr>
        <w:ind w:left="1440" w:hanging="360"/>
      </w:pPr>
      <w:rPr>
        <w:rFonts w:ascii="Courier New" w:hAnsi="Courier New" w:hint="default"/>
      </w:rPr>
    </w:lvl>
    <w:lvl w:ilvl="2" w:tplc="818ECD1C">
      <w:start w:val="1"/>
      <w:numFmt w:val="bullet"/>
      <w:lvlText w:val=""/>
      <w:lvlJc w:val="left"/>
      <w:pPr>
        <w:ind w:left="2160" w:hanging="360"/>
      </w:pPr>
      <w:rPr>
        <w:rFonts w:ascii="Wingdings" w:hAnsi="Wingdings" w:hint="default"/>
      </w:rPr>
    </w:lvl>
    <w:lvl w:ilvl="3" w:tplc="2EA83B3E">
      <w:start w:val="1"/>
      <w:numFmt w:val="bullet"/>
      <w:lvlText w:val=""/>
      <w:lvlJc w:val="left"/>
      <w:pPr>
        <w:ind w:left="2880" w:hanging="360"/>
      </w:pPr>
      <w:rPr>
        <w:rFonts w:ascii="Symbol" w:hAnsi="Symbol" w:hint="default"/>
      </w:rPr>
    </w:lvl>
    <w:lvl w:ilvl="4" w:tplc="3B56ABF2">
      <w:start w:val="1"/>
      <w:numFmt w:val="bullet"/>
      <w:lvlText w:val="o"/>
      <w:lvlJc w:val="left"/>
      <w:pPr>
        <w:ind w:left="3600" w:hanging="360"/>
      </w:pPr>
      <w:rPr>
        <w:rFonts w:ascii="Courier New" w:hAnsi="Courier New" w:hint="default"/>
      </w:rPr>
    </w:lvl>
    <w:lvl w:ilvl="5" w:tplc="EAD0CFFC">
      <w:start w:val="1"/>
      <w:numFmt w:val="bullet"/>
      <w:lvlText w:val=""/>
      <w:lvlJc w:val="left"/>
      <w:pPr>
        <w:ind w:left="4320" w:hanging="360"/>
      </w:pPr>
      <w:rPr>
        <w:rFonts w:ascii="Wingdings" w:hAnsi="Wingdings" w:hint="default"/>
      </w:rPr>
    </w:lvl>
    <w:lvl w:ilvl="6" w:tplc="A9B2C46E">
      <w:start w:val="1"/>
      <w:numFmt w:val="bullet"/>
      <w:lvlText w:val=""/>
      <w:lvlJc w:val="left"/>
      <w:pPr>
        <w:ind w:left="5040" w:hanging="360"/>
      </w:pPr>
      <w:rPr>
        <w:rFonts w:ascii="Symbol" w:hAnsi="Symbol" w:hint="default"/>
      </w:rPr>
    </w:lvl>
    <w:lvl w:ilvl="7" w:tplc="21B44E2A">
      <w:start w:val="1"/>
      <w:numFmt w:val="bullet"/>
      <w:lvlText w:val="o"/>
      <w:lvlJc w:val="left"/>
      <w:pPr>
        <w:ind w:left="5760" w:hanging="360"/>
      </w:pPr>
      <w:rPr>
        <w:rFonts w:ascii="Courier New" w:hAnsi="Courier New" w:hint="default"/>
      </w:rPr>
    </w:lvl>
    <w:lvl w:ilvl="8" w:tplc="05F009D0">
      <w:start w:val="1"/>
      <w:numFmt w:val="bullet"/>
      <w:lvlText w:val=""/>
      <w:lvlJc w:val="left"/>
      <w:pPr>
        <w:ind w:left="6480" w:hanging="360"/>
      </w:pPr>
      <w:rPr>
        <w:rFonts w:ascii="Wingdings" w:hAnsi="Wingdings" w:hint="default"/>
      </w:rPr>
    </w:lvl>
  </w:abstractNum>
  <w:abstractNum w:abstractNumId="12" w15:restartNumberingAfterBreak="0">
    <w:nsid w:val="6EEE5E26"/>
    <w:multiLevelType w:val="hybridMultilevel"/>
    <w:tmpl w:val="57D04C2C"/>
    <w:lvl w:ilvl="0" w:tplc="89BEB322">
      <w:start w:val="1"/>
      <w:numFmt w:val="bullet"/>
      <w:lvlText w:val=""/>
      <w:lvlJc w:val="left"/>
      <w:pPr>
        <w:ind w:left="720" w:hanging="360"/>
      </w:pPr>
      <w:rPr>
        <w:rFonts w:ascii="Symbol" w:hAnsi="Symbol" w:hint="default"/>
      </w:rPr>
    </w:lvl>
    <w:lvl w:ilvl="1" w:tplc="9F480A34">
      <w:start w:val="1"/>
      <w:numFmt w:val="bullet"/>
      <w:lvlText w:val="o"/>
      <w:lvlJc w:val="left"/>
      <w:pPr>
        <w:ind w:left="1440" w:hanging="360"/>
      </w:pPr>
      <w:rPr>
        <w:rFonts w:ascii="Courier New" w:hAnsi="Courier New" w:hint="default"/>
      </w:rPr>
    </w:lvl>
    <w:lvl w:ilvl="2" w:tplc="D1DEE7D8">
      <w:start w:val="1"/>
      <w:numFmt w:val="bullet"/>
      <w:lvlText w:val=""/>
      <w:lvlJc w:val="left"/>
      <w:pPr>
        <w:ind w:left="2160" w:hanging="360"/>
      </w:pPr>
      <w:rPr>
        <w:rFonts w:ascii="Wingdings" w:hAnsi="Wingdings" w:hint="default"/>
      </w:rPr>
    </w:lvl>
    <w:lvl w:ilvl="3" w:tplc="068A4E42">
      <w:start w:val="1"/>
      <w:numFmt w:val="bullet"/>
      <w:lvlText w:val=""/>
      <w:lvlJc w:val="left"/>
      <w:pPr>
        <w:ind w:left="2880" w:hanging="360"/>
      </w:pPr>
      <w:rPr>
        <w:rFonts w:ascii="Symbol" w:hAnsi="Symbol" w:hint="default"/>
      </w:rPr>
    </w:lvl>
    <w:lvl w:ilvl="4" w:tplc="A72483B6">
      <w:start w:val="1"/>
      <w:numFmt w:val="bullet"/>
      <w:lvlText w:val="o"/>
      <w:lvlJc w:val="left"/>
      <w:pPr>
        <w:ind w:left="3600" w:hanging="360"/>
      </w:pPr>
      <w:rPr>
        <w:rFonts w:ascii="Courier New" w:hAnsi="Courier New" w:hint="default"/>
      </w:rPr>
    </w:lvl>
    <w:lvl w:ilvl="5" w:tplc="7CF8B2C2">
      <w:start w:val="1"/>
      <w:numFmt w:val="bullet"/>
      <w:lvlText w:val=""/>
      <w:lvlJc w:val="left"/>
      <w:pPr>
        <w:ind w:left="4320" w:hanging="360"/>
      </w:pPr>
      <w:rPr>
        <w:rFonts w:ascii="Wingdings" w:hAnsi="Wingdings" w:hint="default"/>
      </w:rPr>
    </w:lvl>
    <w:lvl w:ilvl="6" w:tplc="2880197E">
      <w:start w:val="1"/>
      <w:numFmt w:val="bullet"/>
      <w:lvlText w:val=""/>
      <w:lvlJc w:val="left"/>
      <w:pPr>
        <w:ind w:left="5040" w:hanging="360"/>
      </w:pPr>
      <w:rPr>
        <w:rFonts w:ascii="Symbol" w:hAnsi="Symbol" w:hint="default"/>
      </w:rPr>
    </w:lvl>
    <w:lvl w:ilvl="7" w:tplc="429CC4EC">
      <w:start w:val="1"/>
      <w:numFmt w:val="bullet"/>
      <w:lvlText w:val="o"/>
      <w:lvlJc w:val="left"/>
      <w:pPr>
        <w:ind w:left="5760" w:hanging="360"/>
      </w:pPr>
      <w:rPr>
        <w:rFonts w:ascii="Courier New" w:hAnsi="Courier New" w:hint="default"/>
      </w:rPr>
    </w:lvl>
    <w:lvl w:ilvl="8" w:tplc="124EAD56">
      <w:start w:val="1"/>
      <w:numFmt w:val="bullet"/>
      <w:lvlText w:val=""/>
      <w:lvlJc w:val="left"/>
      <w:pPr>
        <w:ind w:left="6480" w:hanging="360"/>
      </w:pPr>
      <w:rPr>
        <w:rFonts w:ascii="Wingdings" w:hAnsi="Wingdings" w:hint="default"/>
      </w:rPr>
    </w:lvl>
  </w:abstractNum>
  <w:abstractNum w:abstractNumId="13" w15:restartNumberingAfterBreak="0">
    <w:nsid w:val="78EF32E2"/>
    <w:multiLevelType w:val="hybridMultilevel"/>
    <w:tmpl w:val="9416B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7554531">
    <w:abstractNumId w:val="1"/>
  </w:num>
  <w:num w:numId="2" w16cid:durableId="1115825792">
    <w:abstractNumId w:val="11"/>
  </w:num>
  <w:num w:numId="3" w16cid:durableId="1038239908">
    <w:abstractNumId w:val="12"/>
  </w:num>
  <w:num w:numId="4" w16cid:durableId="2051951757">
    <w:abstractNumId w:val="6"/>
  </w:num>
  <w:num w:numId="5" w16cid:durableId="1238319577">
    <w:abstractNumId w:val="10"/>
  </w:num>
  <w:num w:numId="6" w16cid:durableId="130944062">
    <w:abstractNumId w:val="8"/>
  </w:num>
  <w:num w:numId="7" w16cid:durableId="264075112">
    <w:abstractNumId w:val="3"/>
  </w:num>
  <w:num w:numId="8" w16cid:durableId="623196915">
    <w:abstractNumId w:val="4"/>
  </w:num>
  <w:num w:numId="9" w16cid:durableId="156114208">
    <w:abstractNumId w:val="13"/>
  </w:num>
  <w:num w:numId="10" w16cid:durableId="9452183">
    <w:abstractNumId w:val="9"/>
  </w:num>
  <w:num w:numId="11" w16cid:durableId="2016682871">
    <w:abstractNumId w:val="5"/>
  </w:num>
  <w:num w:numId="12" w16cid:durableId="1084381510">
    <w:abstractNumId w:val="2"/>
  </w:num>
  <w:num w:numId="13" w16cid:durableId="1416635148">
    <w:abstractNumId w:val="7"/>
  </w:num>
  <w:num w:numId="14" w16cid:durableId="32775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WwNLMwMjcyNTY0MDJR0lEKTi0uzszPAykwrAUAGHDtVSwAAAA="/>
  </w:docVars>
  <w:rsids>
    <w:rsidRoot w:val="00FE1D4B"/>
    <w:rsid w:val="000616A8"/>
    <w:rsid w:val="00204933"/>
    <w:rsid w:val="00226C70"/>
    <w:rsid w:val="002C4442"/>
    <w:rsid w:val="0030330B"/>
    <w:rsid w:val="00336CE3"/>
    <w:rsid w:val="0034360B"/>
    <w:rsid w:val="003602D1"/>
    <w:rsid w:val="003813A9"/>
    <w:rsid w:val="00383C14"/>
    <w:rsid w:val="0038497D"/>
    <w:rsid w:val="003E717D"/>
    <w:rsid w:val="004425A6"/>
    <w:rsid w:val="004E6827"/>
    <w:rsid w:val="005E4D0E"/>
    <w:rsid w:val="006060B2"/>
    <w:rsid w:val="00613B70"/>
    <w:rsid w:val="00653EBA"/>
    <w:rsid w:val="00664AD9"/>
    <w:rsid w:val="00682B09"/>
    <w:rsid w:val="007704B0"/>
    <w:rsid w:val="008344AA"/>
    <w:rsid w:val="00851C4E"/>
    <w:rsid w:val="00866278"/>
    <w:rsid w:val="00867392"/>
    <w:rsid w:val="00896A5C"/>
    <w:rsid w:val="008B31AF"/>
    <w:rsid w:val="009552AF"/>
    <w:rsid w:val="009D2B79"/>
    <w:rsid w:val="00A14FB5"/>
    <w:rsid w:val="00A96984"/>
    <w:rsid w:val="00AB18D3"/>
    <w:rsid w:val="00AC2710"/>
    <w:rsid w:val="00AE75F7"/>
    <w:rsid w:val="00BD0F3C"/>
    <w:rsid w:val="00BF3F2E"/>
    <w:rsid w:val="00C23221"/>
    <w:rsid w:val="00C27F68"/>
    <w:rsid w:val="00CB281D"/>
    <w:rsid w:val="00D35F13"/>
    <w:rsid w:val="00DA1C4D"/>
    <w:rsid w:val="00DF30B8"/>
    <w:rsid w:val="00E07042"/>
    <w:rsid w:val="00E56AE4"/>
    <w:rsid w:val="00E8782C"/>
    <w:rsid w:val="00E96694"/>
    <w:rsid w:val="00EF0896"/>
    <w:rsid w:val="00F1435C"/>
    <w:rsid w:val="00F61929"/>
    <w:rsid w:val="00FD63BC"/>
    <w:rsid w:val="00FE1D4B"/>
    <w:rsid w:val="03C3C6E3"/>
    <w:rsid w:val="04D6EFA0"/>
    <w:rsid w:val="05788BD5"/>
    <w:rsid w:val="05E0038B"/>
    <w:rsid w:val="08606BE7"/>
    <w:rsid w:val="0A199863"/>
    <w:rsid w:val="0AFB341E"/>
    <w:rsid w:val="0C98A95E"/>
    <w:rsid w:val="0CEC4B6E"/>
    <w:rsid w:val="0D04ED7F"/>
    <w:rsid w:val="0EC7AA6F"/>
    <w:rsid w:val="0ED42096"/>
    <w:rsid w:val="110DA704"/>
    <w:rsid w:val="11386BBB"/>
    <w:rsid w:val="11A69434"/>
    <w:rsid w:val="121F083A"/>
    <w:rsid w:val="125C03A4"/>
    <w:rsid w:val="12B12838"/>
    <w:rsid w:val="13F25F89"/>
    <w:rsid w:val="157E9907"/>
    <w:rsid w:val="16AB21F3"/>
    <w:rsid w:val="17640DD6"/>
    <w:rsid w:val="17B55727"/>
    <w:rsid w:val="194719FC"/>
    <w:rsid w:val="1B3A9949"/>
    <w:rsid w:val="1C3B124F"/>
    <w:rsid w:val="2071B78F"/>
    <w:rsid w:val="2188B9C3"/>
    <w:rsid w:val="22B07AF1"/>
    <w:rsid w:val="22B1AE5A"/>
    <w:rsid w:val="244C4B52"/>
    <w:rsid w:val="246890EE"/>
    <w:rsid w:val="24E6E25D"/>
    <w:rsid w:val="250EF543"/>
    <w:rsid w:val="25AAAFBF"/>
    <w:rsid w:val="26C4E67C"/>
    <w:rsid w:val="27304A04"/>
    <w:rsid w:val="2783EC14"/>
    <w:rsid w:val="279BA331"/>
    <w:rsid w:val="27C6F3AB"/>
    <w:rsid w:val="29B15CBD"/>
    <w:rsid w:val="2B69E2EB"/>
    <w:rsid w:val="2D13D903"/>
    <w:rsid w:val="2EB3AA72"/>
    <w:rsid w:val="2FBB0594"/>
    <w:rsid w:val="303B9374"/>
    <w:rsid w:val="3132BBE0"/>
    <w:rsid w:val="317C6700"/>
    <w:rsid w:val="3184BDC5"/>
    <w:rsid w:val="3188077D"/>
    <w:rsid w:val="330CF5D3"/>
    <w:rsid w:val="357FE174"/>
    <w:rsid w:val="374F4BF9"/>
    <w:rsid w:val="392D811E"/>
    <w:rsid w:val="39832400"/>
    <w:rsid w:val="39C76890"/>
    <w:rsid w:val="3A818E4F"/>
    <w:rsid w:val="3B9B0807"/>
    <w:rsid w:val="3D674BF4"/>
    <w:rsid w:val="3DD0E87A"/>
    <w:rsid w:val="3DF8168B"/>
    <w:rsid w:val="3E6A3872"/>
    <w:rsid w:val="405A1AAA"/>
    <w:rsid w:val="42073801"/>
    <w:rsid w:val="43B75D1B"/>
    <w:rsid w:val="44305EB7"/>
    <w:rsid w:val="44BABBD4"/>
    <w:rsid w:val="46C6CB96"/>
    <w:rsid w:val="47E2C0D0"/>
    <w:rsid w:val="483DDBEC"/>
    <w:rsid w:val="486A1943"/>
    <w:rsid w:val="488C94A6"/>
    <w:rsid w:val="4934BE3E"/>
    <w:rsid w:val="4BE0B114"/>
    <w:rsid w:val="4DA94391"/>
    <w:rsid w:val="4ED11976"/>
    <w:rsid w:val="4F0AEFED"/>
    <w:rsid w:val="50F29594"/>
    <w:rsid w:val="522DD134"/>
    <w:rsid w:val="53D9117E"/>
    <w:rsid w:val="555EA866"/>
    <w:rsid w:val="569A4598"/>
    <w:rsid w:val="57C7F4A2"/>
    <w:rsid w:val="5B5F47AE"/>
    <w:rsid w:val="5DDAB369"/>
    <w:rsid w:val="5ED8F398"/>
    <w:rsid w:val="5F105027"/>
    <w:rsid w:val="6067BEDF"/>
    <w:rsid w:val="6101E461"/>
    <w:rsid w:val="6226C46D"/>
    <w:rsid w:val="62369977"/>
    <w:rsid w:val="62AC4E99"/>
    <w:rsid w:val="635E1F80"/>
    <w:rsid w:val="63AF0FB2"/>
    <w:rsid w:val="6C65F217"/>
    <w:rsid w:val="6C7A2F94"/>
    <w:rsid w:val="6D7FCD08"/>
    <w:rsid w:val="6DC8EE1B"/>
    <w:rsid w:val="6FA60EBE"/>
    <w:rsid w:val="6FB53D62"/>
    <w:rsid w:val="72E0C5F8"/>
    <w:rsid w:val="734987F5"/>
    <w:rsid w:val="7369E451"/>
    <w:rsid w:val="74743BBB"/>
    <w:rsid w:val="764B879A"/>
    <w:rsid w:val="787CB267"/>
    <w:rsid w:val="7D1A00CE"/>
    <w:rsid w:val="7E9D71C4"/>
    <w:rsid w:val="7ECB56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277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0B8"/>
    <w:rPr>
      <w:color w:val="0000FF"/>
      <w:u w:val="single"/>
    </w:rPr>
  </w:style>
  <w:style w:type="character" w:styleId="Strong">
    <w:name w:val="Strong"/>
    <w:basedOn w:val="DefaultParagraphFont"/>
    <w:uiPriority w:val="22"/>
    <w:qFormat/>
    <w:rsid w:val="009D2B79"/>
    <w:rPr>
      <w:b/>
      <w:bCs/>
    </w:rPr>
  </w:style>
  <w:style w:type="paragraph" w:styleId="ListParagraph">
    <w:name w:val="List Paragraph"/>
    <w:basedOn w:val="Normal"/>
    <w:uiPriority w:val="34"/>
    <w:qFormat/>
    <w:rsid w:val="00226C70"/>
    <w:pPr>
      <w:ind w:left="720"/>
      <w:contextualSpacing/>
    </w:pPr>
  </w:style>
  <w:style w:type="paragraph" w:styleId="Header">
    <w:name w:val="header"/>
    <w:basedOn w:val="Normal"/>
    <w:link w:val="HeaderChar"/>
    <w:uiPriority w:val="99"/>
    <w:unhideWhenUsed/>
    <w:rsid w:val="003E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17D"/>
  </w:style>
  <w:style w:type="paragraph" w:styleId="Footer">
    <w:name w:val="footer"/>
    <w:basedOn w:val="Normal"/>
    <w:link w:val="FooterChar"/>
    <w:uiPriority w:val="99"/>
    <w:unhideWhenUsed/>
    <w:rsid w:val="003E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17D"/>
  </w:style>
  <w:style w:type="character" w:styleId="UnresolvedMention">
    <w:name w:val="Unresolved Mention"/>
    <w:basedOn w:val="DefaultParagraphFont"/>
    <w:uiPriority w:val="99"/>
    <w:semiHidden/>
    <w:unhideWhenUsed/>
    <w:rsid w:val="007704B0"/>
    <w:rPr>
      <w:color w:val="605E5C"/>
      <w:shd w:val="clear" w:color="auto" w:fill="E1DFDD"/>
    </w:rPr>
  </w:style>
  <w:style w:type="character" w:styleId="FollowedHyperlink">
    <w:name w:val="FollowedHyperlink"/>
    <w:basedOn w:val="DefaultParagraphFont"/>
    <w:uiPriority w:val="99"/>
    <w:semiHidden/>
    <w:unhideWhenUsed/>
    <w:rsid w:val="00D35F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08928">
      <w:bodyDiv w:val="1"/>
      <w:marLeft w:val="0"/>
      <w:marRight w:val="0"/>
      <w:marTop w:val="0"/>
      <w:marBottom w:val="0"/>
      <w:divBdr>
        <w:top w:val="none" w:sz="0" w:space="0" w:color="auto"/>
        <w:left w:val="none" w:sz="0" w:space="0" w:color="auto"/>
        <w:bottom w:val="none" w:sz="0" w:space="0" w:color="auto"/>
        <w:right w:val="none" w:sz="0" w:space="0" w:color="auto"/>
      </w:divBdr>
    </w:div>
    <w:div w:id="1607618435">
      <w:bodyDiv w:val="1"/>
      <w:marLeft w:val="0"/>
      <w:marRight w:val="0"/>
      <w:marTop w:val="0"/>
      <w:marBottom w:val="0"/>
      <w:divBdr>
        <w:top w:val="none" w:sz="0" w:space="0" w:color="auto"/>
        <w:left w:val="none" w:sz="0" w:space="0" w:color="auto"/>
        <w:bottom w:val="none" w:sz="0" w:space="0" w:color="auto"/>
        <w:right w:val="none" w:sz="0" w:space="0" w:color="auto"/>
      </w:divBdr>
    </w:div>
    <w:div w:id="1648826245">
      <w:bodyDiv w:val="1"/>
      <w:marLeft w:val="0"/>
      <w:marRight w:val="0"/>
      <w:marTop w:val="0"/>
      <w:marBottom w:val="0"/>
      <w:divBdr>
        <w:top w:val="none" w:sz="0" w:space="0" w:color="auto"/>
        <w:left w:val="none" w:sz="0" w:space="0" w:color="auto"/>
        <w:bottom w:val="none" w:sz="0" w:space="0" w:color="auto"/>
        <w:right w:val="none" w:sz="0" w:space="0" w:color="auto"/>
      </w:divBdr>
      <w:divsChild>
        <w:div w:id="1449813839">
          <w:marLeft w:val="-225"/>
          <w:marRight w:val="-225"/>
          <w:marTop w:val="0"/>
          <w:marBottom w:val="0"/>
          <w:divBdr>
            <w:top w:val="none" w:sz="0" w:space="0" w:color="auto"/>
            <w:left w:val="none" w:sz="0" w:space="0" w:color="auto"/>
            <w:bottom w:val="none" w:sz="0" w:space="0" w:color="auto"/>
            <w:right w:val="none" w:sz="0" w:space="0" w:color="auto"/>
          </w:divBdr>
          <w:divsChild>
            <w:div w:id="297802105">
              <w:marLeft w:val="0"/>
              <w:marRight w:val="0"/>
              <w:marTop w:val="0"/>
              <w:marBottom w:val="0"/>
              <w:divBdr>
                <w:top w:val="none" w:sz="0" w:space="0" w:color="auto"/>
                <w:left w:val="none" w:sz="0" w:space="0" w:color="auto"/>
                <w:bottom w:val="none" w:sz="0" w:space="0" w:color="auto"/>
                <w:right w:val="none" w:sz="0" w:space="0" w:color="auto"/>
              </w:divBdr>
              <w:divsChild>
                <w:div w:id="133067181">
                  <w:marLeft w:val="0"/>
                  <w:marRight w:val="0"/>
                  <w:marTop w:val="0"/>
                  <w:marBottom w:val="0"/>
                  <w:divBdr>
                    <w:top w:val="none" w:sz="0" w:space="0" w:color="auto"/>
                    <w:left w:val="none" w:sz="0" w:space="0" w:color="auto"/>
                    <w:bottom w:val="none" w:sz="0" w:space="0" w:color="auto"/>
                    <w:right w:val="none" w:sz="0" w:space="0" w:color="auto"/>
                  </w:divBdr>
                  <w:divsChild>
                    <w:div w:id="1914926509">
                      <w:marLeft w:val="0"/>
                      <w:marRight w:val="0"/>
                      <w:marTop w:val="0"/>
                      <w:marBottom w:val="0"/>
                      <w:divBdr>
                        <w:top w:val="none" w:sz="0" w:space="0" w:color="auto"/>
                        <w:left w:val="none" w:sz="0" w:space="0" w:color="auto"/>
                        <w:bottom w:val="none" w:sz="0" w:space="0" w:color="auto"/>
                        <w:right w:val="none" w:sz="0" w:space="0" w:color="auto"/>
                      </w:divBdr>
                      <w:divsChild>
                        <w:div w:id="1217669356">
                          <w:marLeft w:val="0"/>
                          <w:marRight w:val="0"/>
                          <w:marTop w:val="0"/>
                          <w:marBottom w:val="0"/>
                          <w:divBdr>
                            <w:top w:val="none" w:sz="0" w:space="0" w:color="auto"/>
                            <w:left w:val="none" w:sz="0" w:space="0" w:color="auto"/>
                            <w:bottom w:val="none" w:sz="0" w:space="0" w:color="auto"/>
                            <w:right w:val="none" w:sz="0" w:space="0" w:color="auto"/>
                          </w:divBdr>
                          <w:divsChild>
                            <w:div w:id="1519660757">
                              <w:marLeft w:val="0"/>
                              <w:marRight w:val="0"/>
                              <w:marTop w:val="0"/>
                              <w:marBottom w:val="0"/>
                              <w:divBdr>
                                <w:top w:val="none" w:sz="0" w:space="0" w:color="auto"/>
                                <w:left w:val="none" w:sz="0" w:space="0" w:color="auto"/>
                                <w:bottom w:val="none" w:sz="0" w:space="0" w:color="auto"/>
                                <w:right w:val="none" w:sz="0" w:space="0" w:color="auto"/>
                              </w:divBdr>
                              <w:divsChild>
                                <w:div w:id="5434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790906">
          <w:marLeft w:val="-225"/>
          <w:marRight w:val="-225"/>
          <w:marTop w:val="0"/>
          <w:marBottom w:val="0"/>
          <w:divBdr>
            <w:top w:val="none" w:sz="0" w:space="0" w:color="auto"/>
            <w:left w:val="none" w:sz="0" w:space="0" w:color="auto"/>
            <w:bottom w:val="none" w:sz="0" w:space="0" w:color="auto"/>
            <w:right w:val="none" w:sz="0" w:space="0" w:color="auto"/>
          </w:divBdr>
          <w:divsChild>
            <w:div w:id="1536232497">
              <w:marLeft w:val="0"/>
              <w:marRight w:val="0"/>
              <w:marTop w:val="0"/>
              <w:marBottom w:val="0"/>
              <w:divBdr>
                <w:top w:val="none" w:sz="0" w:space="0" w:color="auto"/>
                <w:left w:val="none" w:sz="0" w:space="0" w:color="auto"/>
                <w:bottom w:val="none" w:sz="0" w:space="0" w:color="auto"/>
                <w:right w:val="none" w:sz="0" w:space="0" w:color="auto"/>
              </w:divBdr>
              <w:divsChild>
                <w:div w:id="1791895791">
                  <w:marLeft w:val="0"/>
                  <w:marRight w:val="0"/>
                  <w:marTop w:val="0"/>
                  <w:marBottom w:val="0"/>
                  <w:divBdr>
                    <w:top w:val="none" w:sz="0" w:space="0" w:color="auto"/>
                    <w:left w:val="none" w:sz="0" w:space="0" w:color="auto"/>
                    <w:bottom w:val="none" w:sz="0" w:space="0" w:color="auto"/>
                    <w:right w:val="none" w:sz="0" w:space="0" w:color="auto"/>
                  </w:divBdr>
                  <w:divsChild>
                    <w:div w:id="309555104">
                      <w:marLeft w:val="0"/>
                      <w:marRight w:val="0"/>
                      <w:marTop w:val="0"/>
                      <w:marBottom w:val="0"/>
                      <w:divBdr>
                        <w:top w:val="none" w:sz="0" w:space="0" w:color="auto"/>
                        <w:left w:val="none" w:sz="0" w:space="0" w:color="auto"/>
                        <w:bottom w:val="none" w:sz="0" w:space="0" w:color="auto"/>
                        <w:right w:val="none" w:sz="0" w:space="0" w:color="auto"/>
                      </w:divBdr>
                      <w:divsChild>
                        <w:div w:id="1369065594">
                          <w:marLeft w:val="0"/>
                          <w:marRight w:val="0"/>
                          <w:marTop w:val="0"/>
                          <w:marBottom w:val="0"/>
                          <w:divBdr>
                            <w:top w:val="none" w:sz="0" w:space="0" w:color="auto"/>
                            <w:left w:val="none" w:sz="0" w:space="0" w:color="auto"/>
                            <w:bottom w:val="none" w:sz="0" w:space="0" w:color="auto"/>
                            <w:right w:val="none" w:sz="0" w:space="0" w:color="auto"/>
                          </w:divBdr>
                          <w:divsChild>
                            <w:div w:id="188833524">
                              <w:marLeft w:val="0"/>
                              <w:marRight w:val="0"/>
                              <w:marTop w:val="0"/>
                              <w:marBottom w:val="0"/>
                              <w:divBdr>
                                <w:top w:val="none" w:sz="0" w:space="0" w:color="auto"/>
                                <w:left w:val="none" w:sz="0" w:space="0" w:color="auto"/>
                                <w:bottom w:val="none" w:sz="0" w:space="0" w:color="auto"/>
                                <w:right w:val="none" w:sz="0" w:space="0" w:color="auto"/>
                              </w:divBdr>
                              <w:divsChild>
                                <w:div w:id="17791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ijhydene.2023.11.322" TargetMode="External"/><Relationship Id="rId13" Type="http://schemas.openxmlformats.org/officeDocument/2006/relationships/hyperlink" Target="http://dx.doi.org/10.1016/j.ijhydene.2023.03.232"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x.doi.org/10.1016/j.fuel.2022.125618"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16/j.ijhydene.2022.06.15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x.doi.org/10.1016/j.ijhydene.2023.06.230"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dx.doi.org/10.1016/j.ijhydene.2023.11.16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CA60712C624D47AFA24E0E2B071E39" ma:contentTypeVersion="11" ma:contentTypeDescription="Create a new document." ma:contentTypeScope="" ma:versionID="6ac4aa2e7b66d13f93f1bf6b935448b2">
  <xsd:schema xmlns:xsd="http://www.w3.org/2001/XMLSchema" xmlns:xs="http://www.w3.org/2001/XMLSchema" xmlns:p="http://schemas.microsoft.com/office/2006/metadata/properties" xmlns:ns2="4bd2851d-78fa-4755-bea0-e81e8d2e92e1" xmlns:ns3="c4363bc9-e002-4f81-a5e1-8f41fba3c29f" xmlns:ns4="ebd36939-a862-4257-99b8-ac208403cbb1" xmlns:ns5="e9215c2e-cb2f-4dc7-87d2-156f8392f66c" targetNamespace="http://schemas.microsoft.com/office/2006/metadata/properties" ma:root="true" ma:fieldsID="96a21eee44906f7c246ea90439bfd290" ns2:_="" ns3:_="" ns4:_="" ns5:_="">
    <xsd:import namespace="4bd2851d-78fa-4755-bea0-e81e8d2e92e1"/>
    <xsd:import namespace="c4363bc9-e002-4f81-a5e1-8f41fba3c29f"/>
    <xsd:import namespace="ebd36939-a862-4257-99b8-ac208403cbb1"/>
    <xsd:import namespace="e9215c2e-cb2f-4dc7-87d2-156f8392f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2851d-78fa-4755-bea0-e81e8d2e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63bc9-e002-4f81-a5e1-8f41fba3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36939-a862-4257-99b8-ac208403cbb1"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7b88db-b703-4d04-81b7-e61a8f043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15c2e-cb2f-4dc7-87d2-156f8392f66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0905a60-8366-4cb6-ab24-12e3f364fff6}" ma:internalName="TaxCatchAll" ma:showField="CatchAllData" ma:web="e9215c2e-cb2f-4dc7-87d2-156f8392f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4363bc9-e002-4f81-a5e1-8f41fba3c29f">
      <UserInfo>
        <DisplayName/>
        <AccountId xsi:nil="true"/>
        <AccountType/>
      </UserInfo>
    </SharedWithUsers>
    <MediaLengthInSeconds xmlns="4bd2851d-78fa-4755-bea0-e81e8d2e92e1" xsi:nil="true"/>
    <TaxCatchAll xmlns="e9215c2e-cb2f-4dc7-87d2-156f8392f66c" xsi:nil="true"/>
    <lcf76f155ced4ddcb4097134ff3c332f xmlns="ebd36939-a862-4257-99b8-ac208403c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A33E20-C54C-4A14-BBA2-FC13552D45B6}"/>
</file>

<file path=customXml/itemProps2.xml><?xml version="1.0" encoding="utf-8"?>
<ds:datastoreItem xmlns:ds="http://schemas.openxmlformats.org/officeDocument/2006/customXml" ds:itemID="{49183394-FE81-4BC5-8483-9ABBFC86B9DE}"/>
</file>

<file path=customXml/itemProps3.xml><?xml version="1.0" encoding="utf-8"?>
<ds:datastoreItem xmlns:ds="http://schemas.openxmlformats.org/officeDocument/2006/customXml" ds:itemID="{A6F2767A-0F63-480E-AF53-7B1D13CF4F57}"/>
</file>

<file path=docProps/app.xml><?xml version="1.0" encoding="utf-8"?>
<Properties xmlns="http://schemas.openxmlformats.org/officeDocument/2006/extended-properties" xmlns:vt="http://schemas.openxmlformats.org/officeDocument/2006/docPropsVTypes">
  <Template>Normal.dotm</Template>
  <TotalTime>0</TotalTime>
  <Pages>2</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2023-12-04T03:28:00Z</dcterms:created>
  <dcterms:modified xsi:type="dcterms:W3CDTF">2023-12-04T03:28:00Z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0x010100E6CA60712C624D47AFA24E0E2B071E39</vt:lpwstr>
  </property>
  <property fmtid="{D5CDD505-2E9C-101B-9397-08002B2CF9AE}" pid="3" name="GUID">
    <vt:lpwstr>43a1eb72-a185-41fd-a288-bfe3dc9aae91</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TaxCatchAll">
    <vt:lpwstr/>
  </property>
  <property fmtid="{D5CDD505-2E9C-101B-9397-08002B2CF9AE}" pid="8" name="lcf76f155ced4ddcb4097134ff3c332f">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