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9A460" w14:textId="302396B3" w:rsidR="44305EB7" w:rsidRDefault="44305EB7" w:rsidP="03C3C6E3">
      <w:pPr>
        <w:spacing w:after="225" w:line="240" w:lineRule="auto"/>
        <w:jc w:val="center"/>
      </w:pPr>
    </w:p>
    <w:p w14:paraId="17ECBD80" w14:textId="682EE99A" w:rsidR="007078B9" w:rsidRPr="007078B9" w:rsidRDefault="007078B9" w:rsidP="007078B9">
      <w:pPr>
        <w:shd w:val="clear" w:color="auto" w:fill="FFFFFF"/>
        <w:spacing w:after="225" w:line="240" w:lineRule="auto"/>
        <w:outlineLvl w:val="2"/>
        <w:rPr>
          <w:rFonts w:ascii="Arial" w:eastAsia="Times New Roman" w:hAnsi="Arial" w:cs="Arial"/>
          <w:b/>
          <w:bCs/>
          <w:color w:val="1C4590"/>
          <w:sz w:val="24"/>
          <w:szCs w:val="24"/>
          <w:lang w:eastAsia="en-AU"/>
        </w:rPr>
      </w:pPr>
      <w:r>
        <w:rPr>
          <w:rFonts w:ascii="Arial" w:eastAsia="Times New Roman" w:hAnsi="Arial" w:cs="Arial"/>
          <w:b/>
          <w:bCs/>
          <w:color w:val="1C4590"/>
          <w:sz w:val="24"/>
          <w:szCs w:val="24"/>
          <w:lang w:eastAsia="en-AU"/>
        </w:rPr>
        <w:t xml:space="preserve">Two Page Summary: RP1.4-08 </w:t>
      </w:r>
      <w:r w:rsidRPr="007078B9">
        <w:rPr>
          <w:rFonts w:ascii="Arial" w:eastAsia="Times New Roman" w:hAnsi="Arial" w:cs="Arial"/>
          <w:b/>
          <w:bCs/>
          <w:color w:val="1C4590"/>
          <w:sz w:val="24"/>
          <w:szCs w:val="24"/>
          <w:lang w:eastAsia="en-AU"/>
        </w:rPr>
        <w:t>– Detailed assessment of Type B appliances with blends of hydrogen and natural gas and 100% hydrogen</w:t>
      </w:r>
    </w:p>
    <w:p w14:paraId="5C556535" w14:textId="03953D9F" w:rsidR="007078B9" w:rsidRPr="00CE00CC" w:rsidRDefault="007078B9" w:rsidP="00CE00CC">
      <w:pPr>
        <w:spacing w:after="0" w:line="240" w:lineRule="auto"/>
        <w:rPr>
          <w:rFonts w:ascii="Arial" w:hAnsi="Arial" w:cs="Arial"/>
          <w:sz w:val="20"/>
          <w:szCs w:val="20"/>
        </w:rPr>
      </w:pPr>
      <w:r w:rsidRPr="00CE00CC">
        <w:rPr>
          <w:rFonts w:ascii="Arial" w:eastAsia="Times New Roman" w:hAnsi="Arial" w:cs="Arial"/>
          <w:b/>
          <w:bCs/>
          <w:sz w:val="20"/>
          <w:szCs w:val="20"/>
          <w:lang w:eastAsia="en-AU"/>
        </w:rPr>
        <w:t xml:space="preserve">Key message: </w:t>
      </w:r>
      <w:r w:rsidR="00CE00CC" w:rsidRPr="00CE00CC">
        <w:rPr>
          <w:rFonts w:ascii="Arial" w:hAnsi="Arial" w:cs="Arial"/>
          <w:sz w:val="20"/>
          <w:szCs w:val="20"/>
        </w:rPr>
        <w:t xml:space="preserve">There </w:t>
      </w:r>
      <w:r w:rsidR="002952C9" w:rsidRPr="00CE00CC">
        <w:rPr>
          <w:rFonts w:ascii="Arial" w:hAnsi="Arial" w:cs="Arial"/>
          <w:sz w:val="20"/>
          <w:szCs w:val="20"/>
        </w:rPr>
        <w:t xml:space="preserve">is a high level of confidence </w:t>
      </w:r>
      <w:r w:rsidR="002952C9">
        <w:rPr>
          <w:rFonts w:ascii="Arial" w:hAnsi="Arial" w:cs="Arial"/>
          <w:sz w:val="20"/>
          <w:szCs w:val="20"/>
        </w:rPr>
        <w:t>that</w:t>
      </w:r>
      <w:r w:rsidR="002952C9" w:rsidRPr="00CE00CC">
        <w:rPr>
          <w:rFonts w:ascii="Arial" w:hAnsi="Arial" w:cs="Arial"/>
          <w:sz w:val="20"/>
          <w:szCs w:val="20"/>
        </w:rPr>
        <w:t xml:space="preserve"> Type B appliances </w:t>
      </w:r>
      <w:r w:rsidR="002952C9">
        <w:rPr>
          <w:rFonts w:ascii="Arial" w:hAnsi="Arial" w:cs="Arial"/>
          <w:sz w:val="20"/>
          <w:szCs w:val="20"/>
        </w:rPr>
        <w:t xml:space="preserve">may be operated with no </w:t>
      </w:r>
      <w:r w:rsidR="002952C9" w:rsidRPr="00CE00CC">
        <w:rPr>
          <w:rFonts w:ascii="Arial" w:hAnsi="Arial" w:cs="Arial"/>
          <w:sz w:val="20"/>
          <w:szCs w:val="20"/>
        </w:rPr>
        <w:t>changes</w:t>
      </w:r>
      <w:r w:rsidR="002952C9">
        <w:rPr>
          <w:rFonts w:ascii="Arial" w:hAnsi="Arial" w:cs="Arial"/>
          <w:sz w:val="20"/>
          <w:szCs w:val="20"/>
        </w:rPr>
        <w:t>,</w:t>
      </w:r>
      <w:r w:rsidR="002952C9" w:rsidRPr="00CE00CC">
        <w:rPr>
          <w:rFonts w:ascii="Arial" w:hAnsi="Arial" w:cs="Arial"/>
          <w:sz w:val="20"/>
          <w:szCs w:val="20"/>
        </w:rPr>
        <w:t xml:space="preserve"> or minor changes</w:t>
      </w:r>
      <w:r w:rsidR="002952C9">
        <w:rPr>
          <w:rFonts w:ascii="Arial" w:hAnsi="Arial" w:cs="Arial"/>
          <w:sz w:val="20"/>
          <w:szCs w:val="20"/>
        </w:rPr>
        <w:t>,</w:t>
      </w:r>
      <w:r w:rsidR="002952C9" w:rsidRPr="00CE00CC">
        <w:rPr>
          <w:rFonts w:ascii="Arial" w:hAnsi="Arial" w:cs="Arial"/>
          <w:sz w:val="20"/>
          <w:szCs w:val="20"/>
        </w:rPr>
        <w:t xml:space="preserve"> </w:t>
      </w:r>
      <w:r w:rsidR="002952C9">
        <w:rPr>
          <w:rFonts w:ascii="Arial" w:hAnsi="Arial" w:cs="Arial"/>
          <w:sz w:val="20"/>
          <w:szCs w:val="20"/>
        </w:rPr>
        <w:t>when</w:t>
      </w:r>
      <w:r w:rsidR="002952C9" w:rsidRPr="00CE00CC">
        <w:rPr>
          <w:rFonts w:ascii="Arial" w:hAnsi="Arial" w:cs="Arial"/>
          <w:sz w:val="20"/>
          <w:szCs w:val="20"/>
        </w:rPr>
        <w:t xml:space="preserve"> up to 20 vol% hydrogen </w:t>
      </w:r>
      <w:r w:rsidR="002952C9">
        <w:rPr>
          <w:rFonts w:ascii="Arial" w:hAnsi="Arial" w:cs="Arial"/>
          <w:sz w:val="20"/>
          <w:szCs w:val="20"/>
        </w:rPr>
        <w:t>is blended into natural gas, which is the upper limit proposed for</w:t>
      </w:r>
      <w:r w:rsidR="002952C9" w:rsidRPr="00CE00CC">
        <w:rPr>
          <w:rFonts w:ascii="Arial" w:hAnsi="Arial" w:cs="Arial"/>
          <w:sz w:val="20"/>
          <w:szCs w:val="20"/>
        </w:rPr>
        <w:t xml:space="preserve"> </w:t>
      </w:r>
      <w:r w:rsidR="002952C9">
        <w:rPr>
          <w:rFonts w:ascii="Arial" w:hAnsi="Arial" w:cs="Arial"/>
          <w:sz w:val="20"/>
          <w:szCs w:val="20"/>
        </w:rPr>
        <w:t>gas</w:t>
      </w:r>
      <w:r w:rsidR="002952C9" w:rsidRPr="00CE00CC">
        <w:rPr>
          <w:rFonts w:ascii="Arial" w:hAnsi="Arial" w:cs="Arial"/>
          <w:sz w:val="20"/>
          <w:szCs w:val="20"/>
        </w:rPr>
        <w:t xml:space="preserve"> network blends. </w:t>
      </w:r>
      <w:r w:rsidR="00CE00CC" w:rsidRPr="00CE00CC">
        <w:rPr>
          <w:rFonts w:ascii="Arial" w:hAnsi="Arial" w:cs="Arial"/>
          <w:sz w:val="20"/>
          <w:szCs w:val="20"/>
        </w:rPr>
        <w:t>For &gt; 40 vol% hydrogen</w:t>
      </w:r>
      <w:r w:rsidR="0027700E">
        <w:rPr>
          <w:rFonts w:ascii="Arial" w:hAnsi="Arial" w:cs="Arial"/>
          <w:sz w:val="20"/>
          <w:szCs w:val="20"/>
        </w:rPr>
        <w:t xml:space="preserve"> blends</w:t>
      </w:r>
      <w:r w:rsidR="00CE00CC" w:rsidRPr="00CE00CC">
        <w:rPr>
          <w:rFonts w:ascii="Arial" w:hAnsi="Arial" w:cs="Arial"/>
          <w:sz w:val="20"/>
          <w:szCs w:val="20"/>
        </w:rPr>
        <w:t>, burner and flame detector</w:t>
      </w:r>
      <w:r w:rsidR="00CE00CC" w:rsidRPr="00CE00CC">
        <w:rPr>
          <w:rFonts w:ascii="Arial" w:hAnsi="Arial" w:cs="Arial"/>
          <w:sz w:val="20"/>
          <w:szCs w:val="20"/>
        </w:rPr>
        <w:t xml:space="preserve"> changes </w:t>
      </w:r>
      <w:r w:rsidR="0027700E">
        <w:rPr>
          <w:rFonts w:ascii="Arial" w:hAnsi="Arial" w:cs="Arial"/>
          <w:sz w:val="20"/>
          <w:szCs w:val="20"/>
        </w:rPr>
        <w:t>are more likely to be</w:t>
      </w:r>
      <w:r w:rsidR="00CE00CC" w:rsidRPr="00CE00CC">
        <w:rPr>
          <w:rFonts w:ascii="Arial" w:hAnsi="Arial" w:cs="Arial"/>
          <w:sz w:val="20"/>
          <w:szCs w:val="20"/>
        </w:rPr>
        <w:t xml:space="preserve"> </w:t>
      </w:r>
      <w:r w:rsidR="00CE00CC" w:rsidRPr="00CE00CC">
        <w:rPr>
          <w:rFonts w:ascii="Arial" w:hAnsi="Arial" w:cs="Arial"/>
          <w:sz w:val="20"/>
          <w:szCs w:val="20"/>
        </w:rPr>
        <w:t>require</w:t>
      </w:r>
      <w:r w:rsidR="00CE00CC" w:rsidRPr="00CE00CC">
        <w:rPr>
          <w:rFonts w:ascii="Arial" w:hAnsi="Arial" w:cs="Arial"/>
          <w:sz w:val="20"/>
          <w:szCs w:val="20"/>
        </w:rPr>
        <w:t>d depending on the type of burner and application.</w:t>
      </w:r>
    </w:p>
    <w:p w14:paraId="712EB13E" w14:textId="77777777" w:rsidR="00CE00CC" w:rsidRPr="00CE00CC" w:rsidRDefault="00CE00CC" w:rsidP="00CE00CC">
      <w:pPr>
        <w:spacing w:after="0" w:line="240" w:lineRule="auto"/>
        <w:rPr>
          <w:rFonts w:ascii="Arial" w:hAnsi="Arial" w:cs="Arial"/>
          <w:sz w:val="20"/>
          <w:szCs w:val="20"/>
        </w:rPr>
      </w:pPr>
    </w:p>
    <w:p w14:paraId="502E7EEF" w14:textId="24CCF25B" w:rsidR="007078B9" w:rsidRPr="00CE00CC" w:rsidRDefault="007078B9" w:rsidP="007078B9">
      <w:pPr>
        <w:rPr>
          <w:rFonts w:ascii="Arial" w:hAnsi="Arial" w:cs="Arial"/>
          <w:sz w:val="20"/>
          <w:szCs w:val="20"/>
        </w:rPr>
      </w:pPr>
      <w:r w:rsidRPr="00CE00CC">
        <w:rPr>
          <w:rFonts w:ascii="Arial" w:hAnsi="Arial" w:cs="Arial"/>
          <w:sz w:val="20"/>
          <w:szCs w:val="20"/>
        </w:rPr>
        <w:t xml:space="preserve">Six new industrial natural </w:t>
      </w:r>
      <w:r w:rsidR="00EC7D2E" w:rsidRPr="00CE00CC">
        <w:rPr>
          <w:rFonts w:ascii="Arial" w:hAnsi="Arial" w:cs="Arial"/>
          <w:sz w:val="20"/>
          <w:szCs w:val="20"/>
        </w:rPr>
        <w:t>ga</w:t>
      </w:r>
      <w:r w:rsidRPr="00CE00CC">
        <w:rPr>
          <w:rFonts w:ascii="Arial" w:hAnsi="Arial" w:cs="Arial"/>
          <w:sz w:val="20"/>
          <w:szCs w:val="20"/>
        </w:rPr>
        <w:t xml:space="preserve">s burners, some pilot burners and second-hand burners and their gas valve trains were operated with blends of hydrogen and natural gas </w:t>
      </w:r>
      <w:r w:rsidR="0027700E">
        <w:rPr>
          <w:rFonts w:ascii="Arial" w:hAnsi="Arial" w:cs="Arial"/>
          <w:sz w:val="20"/>
          <w:szCs w:val="20"/>
        </w:rPr>
        <w:t>with the intention of finding a</w:t>
      </w:r>
      <w:r w:rsidRPr="00CE00CC">
        <w:rPr>
          <w:rFonts w:ascii="Arial" w:hAnsi="Arial" w:cs="Arial"/>
          <w:sz w:val="20"/>
          <w:szCs w:val="20"/>
        </w:rPr>
        <w:t xml:space="preserve"> conservative maximum </w:t>
      </w:r>
      <w:r w:rsidR="00EC7D2E" w:rsidRPr="00CE00CC">
        <w:rPr>
          <w:rFonts w:ascii="Arial" w:hAnsi="Arial" w:cs="Arial"/>
          <w:sz w:val="20"/>
          <w:szCs w:val="20"/>
        </w:rPr>
        <w:t xml:space="preserve">hydrogen </w:t>
      </w:r>
      <w:r w:rsidRPr="00CE00CC">
        <w:rPr>
          <w:rFonts w:ascii="Arial" w:hAnsi="Arial" w:cs="Arial"/>
          <w:sz w:val="20"/>
          <w:szCs w:val="20"/>
        </w:rPr>
        <w:t xml:space="preserve">blend </w:t>
      </w:r>
      <w:r w:rsidR="00EC7D2E" w:rsidRPr="00CE00CC">
        <w:rPr>
          <w:rFonts w:ascii="Arial" w:hAnsi="Arial" w:cs="Arial"/>
          <w:sz w:val="20"/>
          <w:szCs w:val="20"/>
        </w:rPr>
        <w:t xml:space="preserve">percentage </w:t>
      </w:r>
      <w:r w:rsidRPr="00CE00CC">
        <w:rPr>
          <w:rFonts w:ascii="Arial" w:hAnsi="Arial" w:cs="Arial"/>
          <w:sz w:val="20"/>
          <w:szCs w:val="20"/>
        </w:rPr>
        <w:t>that can be used with no changes or minor changes.  Further tests</w:t>
      </w:r>
      <w:r w:rsidRPr="00CE00CC">
        <w:rPr>
          <w:rFonts w:ascii="Arial" w:hAnsi="Arial" w:cs="Arial"/>
          <w:sz w:val="20"/>
          <w:szCs w:val="20"/>
        </w:rPr>
        <w:t xml:space="preserve"> </w:t>
      </w:r>
      <w:r w:rsidRPr="00CE00CC">
        <w:rPr>
          <w:rFonts w:ascii="Arial" w:hAnsi="Arial" w:cs="Arial"/>
          <w:sz w:val="20"/>
          <w:szCs w:val="20"/>
        </w:rPr>
        <w:t xml:space="preserve">with greater percentages of hydrogen and </w:t>
      </w:r>
      <w:r w:rsidRPr="00CE00CC">
        <w:rPr>
          <w:rFonts w:ascii="Arial" w:hAnsi="Arial" w:cs="Arial"/>
          <w:sz w:val="20"/>
          <w:szCs w:val="20"/>
        </w:rPr>
        <w:t>100% hydrogen</w:t>
      </w:r>
      <w:r w:rsidRPr="00CE00CC">
        <w:rPr>
          <w:rFonts w:ascii="Arial" w:hAnsi="Arial" w:cs="Arial"/>
          <w:sz w:val="20"/>
          <w:szCs w:val="20"/>
        </w:rPr>
        <w:t xml:space="preserve"> were performed to </w:t>
      </w:r>
      <w:r w:rsidRPr="00CE00CC">
        <w:rPr>
          <w:rFonts w:ascii="Arial" w:hAnsi="Arial" w:cs="Arial"/>
          <w:sz w:val="20"/>
          <w:szCs w:val="20"/>
        </w:rPr>
        <w:t>deliberate</w:t>
      </w:r>
      <w:r w:rsidRPr="00CE00CC">
        <w:rPr>
          <w:rFonts w:ascii="Arial" w:hAnsi="Arial" w:cs="Arial"/>
          <w:sz w:val="20"/>
          <w:szCs w:val="20"/>
        </w:rPr>
        <w:t>ly</w:t>
      </w:r>
      <w:r w:rsidRPr="00CE00CC">
        <w:rPr>
          <w:rFonts w:ascii="Arial" w:hAnsi="Arial" w:cs="Arial"/>
          <w:sz w:val="20"/>
          <w:szCs w:val="20"/>
        </w:rPr>
        <w:t xml:space="preserve"> stress test </w:t>
      </w:r>
      <w:r w:rsidRPr="00CE00CC">
        <w:rPr>
          <w:rFonts w:ascii="Arial" w:hAnsi="Arial" w:cs="Arial"/>
          <w:sz w:val="20"/>
          <w:szCs w:val="20"/>
        </w:rPr>
        <w:t xml:space="preserve">current </w:t>
      </w:r>
      <w:r w:rsidR="0027700E">
        <w:rPr>
          <w:rFonts w:ascii="Arial" w:hAnsi="Arial" w:cs="Arial"/>
          <w:sz w:val="20"/>
          <w:szCs w:val="20"/>
        </w:rPr>
        <w:t xml:space="preserve">burner </w:t>
      </w:r>
      <w:r w:rsidRPr="00CE00CC">
        <w:rPr>
          <w:rFonts w:ascii="Arial" w:hAnsi="Arial" w:cs="Arial"/>
          <w:sz w:val="20"/>
          <w:szCs w:val="20"/>
        </w:rPr>
        <w:t>designs</w:t>
      </w:r>
      <w:r w:rsidRPr="00CE00CC">
        <w:rPr>
          <w:rFonts w:ascii="Arial" w:hAnsi="Arial" w:cs="Arial"/>
          <w:sz w:val="20"/>
          <w:szCs w:val="20"/>
        </w:rPr>
        <w:t xml:space="preserve"> </w:t>
      </w:r>
      <w:r w:rsidR="00EC7D2E" w:rsidRPr="00CE00CC">
        <w:rPr>
          <w:rFonts w:ascii="Arial" w:hAnsi="Arial" w:cs="Arial"/>
          <w:sz w:val="20"/>
          <w:szCs w:val="20"/>
        </w:rPr>
        <w:t xml:space="preserve">well </w:t>
      </w:r>
      <w:r w:rsidRPr="00CE00CC">
        <w:rPr>
          <w:rFonts w:ascii="Arial" w:hAnsi="Arial" w:cs="Arial"/>
          <w:sz w:val="20"/>
          <w:szCs w:val="20"/>
        </w:rPr>
        <w:t>beyond their design capability.</w:t>
      </w:r>
    </w:p>
    <w:p w14:paraId="015CFB7E" w14:textId="6D734A4D" w:rsidR="007078B9" w:rsidRPr="00CE00CC" w:rsidRDefault="007078B9" w:rsidP="007078B9">
      <w:pPr>
        <w:rPr>
          <w:rFonts w:ascii="Arial" w:hAnsi="Arial" w:cs="Arial"/>
          <w:sz w:val="20"/>
          <w:szCs w:val="20"/>
        </w:rPr>
      </w:pPr>
      <w:r w:rsidRPr="00CE00CC">
        <w:rPr>
          <w:rFonts w:ascii="Arial" w:hAnsi="Arial" w:cs="Arial"/>
          <w:sz w:val="20"/>
          <w:szCs w:val="20"/>
        </w:rPr>
        <w:t xml:space="preserve">As hydrogen is blended into natural gas the Wobbe index reduces slightly which results in slightly less heat throughput at the same pressure. This was illustrated in </w:t>
      </w:r>
      <w:r w:rsidR="00394156" w:rsidRPr="00CE00CC">
        <w:rPr>
          <w:rFonts w:ascii="Arial" w:hAnsi="Arial" w:cs="Arial"/>
          <w:sz w:val="20"/>
          <w:szCs w:val="20"/>
        </w:rPr>
        <w:t xml:space="preserve">results from open firing and </w:t>
      </w:r>
      <w:r w:rsidRPr="00CE00CC">
        <w:rPr>
          <w:rFonts w:ascii="Arial" w:hAnsi="Arial" w:cs="Arial"/>
          <w:sz w:val="20"/>
          <w:szCs w:val="20"/>
        </w:rPr>
        <w:t>tests with a demonstration in an industrial furnace</w:t>
      </w:r>
      <w:r w:rsidR="00394156" w:rsidRPr="00CE00CC">
        <w:rPr>
          <w:rFonts w:ascii="Arial" w:hAnsi="Arial" w:cs="Arial"/>
          <w:sz w:val="20"/>
          <w:szCs w:val="20"/>
        </w:rPr>
        <w:t xml:space="preserve"> with 30 vol% hydrogen blended into natural gas</w:t>
      </w:r>
      <w:r w:rsidRPr="00CE00CC">
        <w:rPr>
          <w:rFonts w:ascii="Arial" w:hAnsi="Arial" w:cs="Arial"/>
          <w:sz w:val="20"/>
          <w:szCs w:val="20"/>
        </w:rPr>
        <w:t xml:space="preserve">. </w:t>
      </w:r>
      <w:r w:rsidR="00394156" w:rsidRPr="00CE00CC">
        <w:rPr>
          <w:rFonts w:ascii="Arial" w:hAnsi="Arial" w:cs="Arial"/>
          <w:sz w:val="20"/>
          <w:szCs w:val="20"/>
        </w:rPr>
        <w:t xml:space="preserve">The result was that the furnace temperature </w:t>
      </w:r>
      <w:r w:rsidRPr="00CE00CC">
        <w:rPr>
          <w:rFonts w:ascii="Arial" w:hAnsi="Arial" w:cs="Arial"/>
          <w:sz w:val="20"/>
          <w:szCs w:val="20"/>
        </w:rPr>
        <w:t>control automatically increase</w:t>
      </w:r>
      <w:r w:rsidR="00394156" w:rsidRPr="00CE00CC">
        <w:rPr>
          <w:rFonts w:ascii="Arial" w:hAnsi="Arial" w:cs="Arial"/>
          <w:sz w:val="20"/>
          <w:szCs w:val="20"/>
        </w:rPr>
        <w:t>d the</w:t>
      </w:r>
      <w:r w:rsidRPr="00CE00CC">
        <w:rPr>
          <w:rFonts w:ascii="Arial" w:hAnsi="Arial" w:cs="Arial"/>
          <w:sz w:val="20"/>
          <w:szCs w:val="20"/>
        </w:rPr>
        <w:t xml:space="preserve"> fuel flow as required. </w:t>
      </w:r>
      <w:r w:rsidR="00394156" w:rsidRPr="00CE00CC">
        <w:rPr>
          <w:rFonts w:ascii="Arial" w:hAnsi="Arial" w:cs="Arial"/>
          <w:sz w:val="20"/>
          <w:szCs w:val="20"/>
        </w:rPr>
        <w:t xml:space="preserve">An alternative is to slightly increase fuel inlet pressure to the burner valve train which would also negate any flow restrictions that might arise there. </w:t>
      </w:r>
    </w:p>
    <w:p w14:paraId="6728AF58" w14:textId="657A5630" w:rsidR="007078B9" w:rsidRPr="00CE00CC" w:rsidRDefault="007078B9" w:rsidP="007078B9">
      <w:pPr>
        <w:rPr>
          <w:rFonts w:ascii="Arial" w:hAnsi="Arial" w:cs="Arial"/>
          <w:sz w:val="20"/>
          <w:szCs w:val="20"/>
        </w:rPr>
      </w:pPr>
      <w:r w:rsidRPr="00CE00CC">
        <w:rPr>
          <w:rFonts w:ascii="Arial" w:hAnsi="Arial" w:cs="Arial"/>
          <w:sz w:val="20"/>
          <w:szCs w:val="20"/>
        </w:rPr>
        <w:t xml:space="preserve">Open firing tests showed that flame appearance, flame length, radiation and flue gas emissions were very similar to natural gas operation for the likely </w:t>
      </w:r>
      <w:r w:rsidR="006707D6">
        <w:rPr>
          <w:rFonts w:ascii="Arial" w:hAnsi="Arial" w:cs="Arial"/>
          <w:sz w:val="20"/>
          <w:szCs w:val="20"/>
        </w:rPr>
        <w:t xml:space="preserve">upper </w:t>
      </w:r>
      <w:r w:rsidRPr="00CE00CC">
        <w:rPr>
          <w:rFonts w:ascii="Arial" w:hAnsi="Arial" w:cs="Arial"/>
          <w:sz w:val="20"/>
          <w:szCs w:val="20"/>
        </w:rPr>
        <w:t>blend</w:t>
      </w:r>
      <w:r w:rsidR="006707D6">
        <w:rPr>
          <w:rFonts w:ascii="Arial" w:hAnsi="Arial" w:cs="Arial"/>
          <w:sz w:val="20"/>
          <w:szCs w:val="20"/>
        </w:rPr>
        <w:t>ing</w:t>
      </w:r>
      <w:r w:rsidRPr="00CE00CC">
        <w:rPr>
          <w:rFonts w:ascii="Arial" w:hAnsi="Arial" w:cs="Arial"/>
          <w:sz w:val="20"/>
          <w:szCs w:val="20"/>
        </w:rPr>
        <w:t xml:space="preserve"> ratio to be used in networks (up to 20 vol% hydrogen). Hence a wide range of Type B appliances will be suitable for these blends.</w:t>
      </w:r>
    </w:p>
    <w:p w14:paraId="36F567AF" w14:textId="2A0D10E1" w:rsidR="00394156" w:rsidRPr="00CE00CC" w:rsidRDefault="007078B9" w:rsidP="007078B9">
      <w:pPr>
        <w:rPr>
          <w:rFonts w:ascii="Arial" w:hAnsi="Arial" w:cs="Arial"/>
          <w:sz w:val="20"/>
          <w:szCs w:val="20"/>
        </w:rPr>
      </w:pPr>
      <w:r w:rsidRPr="00CE00CC">
        <w:rPr>
          <w:rFonts w:ascii="Arial" w:hAnsi="Arial" w:cs="Arial"/>
          <w:sz w:val="20"/>
          <w:szCs w:val="20"/>
        </w:rPr>
        <w:t xml:space="preserve">Open firing showed that the maximum operable </w:t>
      </w:r>
      <w:r w:rsidR="00394156" w:rsidRPr="00CE00CC">
        <w:rPr>
          <w:rFonts w:ascii="Arial" w:hAnsi="Arial" w:cs="Arial"/>
          <w:sz w:val="20"/>
          <w:szCs w:val="20"/>
        </w:rPr>
        <w:t>hydrogen blend percentage</w:t>
      </w:r>
      <w:r w:rsidRPr="00CE00CC">
        <w:rPr>
          <w:rFonts w:ascii="Arial" w:hAnsi="Arial" w:cs="Arial"/>
          <w:sz w:val="20"/>
          <w:szCs w:val="20"/>
        </w:rPr>
        <w:t xml:space="preserve"> without changes is approximately 40 vol% for partially premixed appliances, but higher for appliances with nozzle mix burners. </w:t>
      </w:r>
      <w:r w:rsidR="00394156" w:rsidRPr="00CE00CC">
        <w:rPr>
          <w:rFonts w:ascii="Arial" w:hAnsi="Arial" w:cs="Arial"/>
          <w:sz w:val="20"/>
          <w:szCs w:val="20"/>
        </w:rPr>
        <w:t xml:space="preserve">NOx and CO emissions and heat transfer show little change from natural gas cases with up to 50 vol% hydrogen in the blend, so there should be no difficulties in using industrial gas burners at network blend ratios up the maximum expected, i.e. </w:t>
      </w:r>
      <w:r w:rsidR="00CE00CC" w:rsidRPr="00CE00CC">
        <w:rPr>
          <w:rFonts w:ascii="Arial" w:hAnsi="Arial" w:cs="Arial"/>
          <w:sz w:val="20"/>
          <w:szCs w:val="20"/>
        </w:rPr>
        <w:t xml:space="preserve">up to </w:t>
      </w:r>
      <w:r w:rsidR="00394156" w:rsidRPr="00CE00CC">
        <w:rPr>
          <w:rFonts w:ascii="Arial" w:hAnsi="Arial" w:cs="Arial"/>
          <w:sz w:val="20"/>
          <w:szCs w:val="20"/>
        </w:rPr>
        <w:t>20 vol%</w:t>
      </w:r>
      <w:r w:rsidR="00CE00CC" w:rsidRPr="00CE00CC">
        <w:rPr>
          <w:rFonts w:ascii="Arial" w:hAnsi="Arial" w:cs="Arial"/>
          <w:sz w:val="20"/>
          <w:szCs w:val="20"/>
        </w:rPr>
        <w:t xml:space="preserve"> hydrogen in natural gas.</w:t>
      </w:r>
      <w:r w:rsidR="00394156" w:rsidRPr="00CE00CC">
        <w:rPr>
          <w:rFonts w:ascii="Arial" w:hAnsi="Arial" w:cs="Arial"/>
          <w:sz w:val="20"/>
          <w:szCs w:val="20"/>
        </w:rPr>
        <w:t xml:space="preserve"> </w:t>
      </w:r>
    </w:p>
    <w:p w14:paraId="5D97747D" w14:textId="03A4F79C" w:rsidR="007078B9" w:rsidRPr="00CE00CC" w:rsidRDefault="007078B9" w:rsidP="00CE00CC">
      <w:pPr>
        <w:rPr>
          <w:rFonts w:ascii="Arial" w:hAnsi="Arial" w:cs="Arial"/>
          <w:sz w:val="20"/>
          <w:szCs w:val="20"/>
        </w:rPr>
      </w:pPr>
      <w:r w:rsidRPr="00CE00CC">
        <w:rPr>
          <w:rFonts w:ascii="Arial" w:hAnsi="Arial" w:cs="Arial"/>
          <w:sz w:val="20"/>
          <w:szCs w:val="20"/>
        </w:rPr>
        <w:t xml:space="preserve">Burners are subjected to higher temperatures </w:t>
      </w:r>
      <w:r w:rsidR="0027700E">
        <w:rPr>
          <w:rFonts w:ascii="Arial" w:hAnsi="Arial" w:cs="Arial"/>
          <w:sz w:val="20"/>
          <w:szCs w:val="20"/>
        </w:rPr>
        <w:t>for</w:t>
      </w:r>
      <w:r w:rsidR="00394156" w:rsidRPr="00CE00CC">
        <w:rPr>
          <w:rFonts w:ascii="Arial" w:hAnsi="Arial" w:cs="Arial"/>
          <w:sz w:val="20"/>
          <w:szCs w:val="20"/>
        </w:rPr>
        <w:t xml:space="preserve"> blends with </w:t>
      </w:r>
      <w:r w:rsidRPr="00CE00CC">
        <w:rPr>
          <w:rFonts w:ascii="Arial" w:hAnsi="Arial" w:cs="Arial"/>
          <w:sz w:val="20"/>
          <w:szCs w:val="20"/>
        </w:rPr>
        <w:t xml:space="preserve">above 50 vol% </w:t>
      </w:r>
      <w:r w:rsidR="00394156" w:rsidRPr="00CE00CC">
        <w:rPr>
          <w:rFonts w:ascii="Arial" w:hAnsi="Arial" w:cs="Arial"/>
          <w:sz w:val="20"/>
          <w:szCs w:val="20"/>
        </w:rPr>
        <w:t>hydrogen</w:t>
      </w:r>
      <w:r w:rsidR="0027700E">
        <w:rPr>
          <w:rFonts w:ascii="Arial" w:hAnsi="Arial" w:cs="Arial"/>
          <w:sz w:val="20"/>
          <w:szCs w:val="20"/>
        </w:rPr>
        <w:t>, which may lead to overheating of burner components.</w:t>
      </w:r>
      <w:r w:rsidR="00394156" w:rsidRPr="00CE00CC">
        <w:rPr>
          <w:rFonts w:ascii="Arial" w:hAnsi="Arial" w:cs="Arial"/>
          <w:sz w:val="20"/>
          <w:szCs w:val="20"/>
        </w:rPr>
        <w:t xml:space="preserve"> </w:t>
      </w:r>
      <w:r w:rsidR="0027700E">
        <w:rPr>
          <w:rFonts w:ascii="Arial" w:hAnsi="Arial" w:cs="Arial"/>
          <w:sz w:val="20"/>
          <w:szCs w:val="20"/>
        </w:rPr>
        <w:t>I</w:t>
      </w:r>
      <w:r w:rsidRPr="00CE00CC">
        <w:rPr>
          <w:rFonts w:ascii="Arial" w:hAnsi="Arial" w:cs="Arial"/>
          <w:sz w:val="20"/>
          <w:szCs w:val="20"/>
        </w:rPr>
        <w:t xml:space="preserve">onisation rod flame detector performance </w:t>
      </w:r>
      <w:r w:rsidR="00394156" w:rsidRPr="00CE00CC">
        <w:rPr>
          <w:rFonts w:ascii="Arial" w:hAnsi="Arial" w:cs="Arial"/>
          <w:sz w:val="20"/>
          <w:szCs w:val="20"/>
        </w:rPr>
        <w:t xml:space="preserve">reduces with increasing hydrogen % and </w:t>
      </w:r>
      <w:r w:rsidR="00CE00CC" w:rsidRPr="00CE00CC">
        <w:rPr>
          <w:rFonts w:ascii="Arial" w:hAnsi="Arial" w:cs="Arial"/>
          <w:sz w:val="20"/>
          <w:szCs w:val="20"/>
        </w:rPr>
        <w:t xml:space="preserve">fails for 100% hydrogen. </w:t>
      </w:r>
      <w:r w:rsidRPr="00CE00CC">
        <w:rPr>
          <w:rFonts w:ascii="Arial" w:hAnsi="Arial" w:cs="Arial"/>
          <w:sz w:val="20"/>
          <w:szCs w:val="20"/>
        </w:rPr>
        <w:t xml:space="preserve">They can be replaced with UV flame detectors in these cases. </w:t>
      </w:r>
    </w:p>
    <w:p w14:paraId="165CD846" w14:textId="793918E6" w:rsidR="007078B9" w:rsidRPr="00CE00CC" w:rsidRDefault="007078B9" w:rsidP="007078B9">
      <w:pPr>
        <w:spacing w:after="0" w:line="240" w:lineRule="auto"/>
        <w:rPr>
          <w:rFonts w:ascii="Arial" w:hAnsi="Arial" w:cs="Arial"/>
          <w:sz w:val="20"/>
          <w:szCs w:val="20"/>
        </w:rPr>
      </w:pPr>
      <w:r w:rsidRPr="00CE00CC">
        <w:rPr>
          <w:rFonts w:ascii="Arial" w:hAnsi="Arial" w:cs="Arial"/>
          <w:sz w:val="20"/>
          <w:szCs w:val="20"/>
        </w:rPr>
        <w:t xml:space="preserve">Calculations confirmed that </w:t>
      </w:r>
      <w:r w:rsidR="0027700E">
        <w:rPr>
          <w:rFonts w:ascii="Arial" w:hAnsi="Arial" w:cs="Arial"/>
          <w:sz w:val="20"/>
          <w:szCs w:val="20"/>
        </w:rPr>
        <w:t xml:space="preserve">combustion </w:t>
      </w:r>
      <w:r w:rsidRPr="00CE00CC">
        <w:rPr>
          <w:rFonts w:ascii="Arial" w:hAnsi="Arial" w:cs="Arial"/>
          <w:sz w:val="20"/>
          <w:szCs w:val="20"/>
        </w:rPr>
        <w:t>air rates have a large effect on both radiation and convection heat transfer and that combustion gases from 100% hydrogen flames produce slightly lower radiation than natural gas and blends</w:t>
      </w:r>
      <w:r w:rsidR="00CE00CC" w:rsidRPr="00CE00CC">
        <w:rPr>
          <w:rFonts w:ascii="Arial" w:hAnsi="Arial" w:cs="Arial"/>
          <w:sz w:val="20"/>
          <w:szCs w:val="20"/>
        </w:rPr>
        <w:t xml:space="preserve"> </w:t>
      </w:r>
      <w:r w:rsidRPr="00CE00CC">
        <w:rPr>
          <w:rFonts w:ascii="Arial" w:hAnsi="Arial" w:cs="Arial"/>
          <w:sz w:val="20"/>
          <w:szCs w:val="20"/>
        </w:rPr>
        <w:t xml:space="preserve">but only </w:t>
      </w:r>
      <w:r w:rsidR="00CE00CC" w:rsidRPr="00CE00CC">
        <w:rPr>
          <w:rFonts w:ascii="Arial" w:hAnsi="Arial" w:cs="Arial"/>
          <w:sz w:val="20"/>
          <w:szCs w:val="20"/>
        </w:rPr>
        <w:t>by</w:t>
      </w:r>
      <w:r w:rsidRPr="00CE00CC">
        <w:rPr>
          <w:rFonts w:ascii="Arial" w:hAnsi="Arial" w:cs="Arial"/>
          <w:sz w:val="20"/>
          <w:szCs w:val="20"/>
        </w:rPr>
        <w:t xml:space="preserve"> a few percent of the total. A small proportion of biomethane in hydrogen would improve radiation.</w:t>
      </w:r>
    </w:p>
    <w:p w14:paraId="02E1A863" w14:textId="77777777" w:rsidR="007078B9" w:rsidRPr="00CE00CC" w:rsidRDefault="007078B9" w:rsidP="007078B9">
      <w:pPr>
        <w:spacing w:after="0" w:line="240" w:lineRule="auto"/>
        <w:rPr>
          <w:rFonts w:ascii="Arial" w:hAnsi="Arial" w:cs="Arial"/>
          <w:sz w:val="20"/>
          <w:szCs w:val="20"/>
        </w:rPr>
      </w:pPr>
    </w:p>
    <w:p w14:paraId="26057EDC" w14:textId="3EFA52CB" w:rsidR="007078B9" w:rsidRPr="00CE00CC" w:rsidRDefault="007078B9" w:rsidP="007078B9">
      <w:pPr>
        <w:spacing w:after="0" w:line="240" w:lineRule="auto"/>
        <w:rPr>
          <w:rFonts w:ascii="Arial" w:hAnsi="Arial" w:cs="Arial"/>
          <w:sz w:val="20"/>
          <w:szCs w:val="20"/>
        </w:rPr>
      </w:pPr>
      <w:r w:rsidRPr="00CE00CC">
        <w:rPr>
          <w:rFonts w:ascii="Arial" w:hAnsi="Arial" w:cs="Arial"/>
          <w:sz w:val="20"/>
          <w:szCs w:val="20"/>
        </w:rPr>
        <w:t>Emissions of nitrogen oxides from 100% hydrogen operation were significantly higher than natural gas and blends for some burners. However, burner design and operation will receive attention to address this issue, noting that in this project the burners were designed for natural gas not hydrogen.</w:t>
      </w:r>
    </w:p>
    <w:p w14:paraId="3BE08DCC" w14:textId="77777777" w:rsidR="007078B9" w:rsidRPr="00CE00CC" w:rsidRDefault="007078B9" w:rsidP="007078B9">
      <w:pPr>
        <w:spacing w:after="0" w:line="240" w:lineRule="auto"/>
        <w:rPr>
          <w:rFonts w:ascii="Arial" w:hAnsi="Arial" w:cs="Arial"/>
          <w:sz w:val="20"/>
          <w:szCs w:val="20"/>
        </w:rPr>
      </w:pPr>
    </w:p>
    <w:p w14:paraId="79C685CD" w14:textId="6CD5970E" w:rsidR="007078B9" w:rsidRPr="00CE00CC" w:rsidRDefault="007078B9" w:rsidP="00CE00CC">
      <w:pPr>
        <w:spacing w:after="0" w:line="240" w:lineRule="auto"/>
        <w:rPr>
          <w:rFonts w:ascii="Arial" w:hAnsi="Arial" w:cs="Arial"/>
          <w:sz w:val="20"/>
          <w:szCs w:val="20"/>
        </w:rPr>
      </w:pPr>
      <w:r w:rsidRPr="00CE00CC">
        <w:rPr>
          <w:rFonts w:ascii="Arial" w:hAnsi="Arial" w:cs="Arial"/>
          <w:sz w:val="20"/>
          <w:szCs w:val="20"/>
        </w:rPr>
        <w:t xml:space="preserve">In this project </w:t>
      </w:r>
      <w:r w:rsidR="00CE00CC" w:rsidRPr="00CE00CC">
        <w:rPr>
          <w:rFonts w:ascii="Arial" w:hAnsi="Arial" w:cs="Arial"/>
          <w:sz w:val="20"/>
          <w:szCs w:val="20"/>
        </w:rPr>
        <w:t>it was</w:t>
      </w:r>
      <w:r w:rsidR="0027700E">
        <w:rPr>
          <w:rFonts w:ascii="Arial" w:hAnsi="Arial" w:cs="Arial"/>
          <w:sz w:val="20"/>
          <w:szCs w:val="20"/>
        </w:rPr>
        <w:t xml:space="preserve"> also</w:t>
      </w:r>
      <w:r w:rsidR="00CE00CC" w:rsidRPr="00CE00CC">
        <w:rPr>
          <w:rFonts w:ascii="Arial" w:hAnsi="Arial" w:cs="Arial"/>
          <w:sz w:val="20"/>
          <w:szCs w:val="20"/>
        </w:rPr>
        <w:t xml:space="preserve"> shown that the existing </w:t>
      </w:r>
      <w:r w:rsidRPr="00CE00CC">
        <w:rPr>
          <w:rFonts w:ascii="Arial" w:hAnsi="Arial" w:cs="Arial"/>
          <w:sz w:val="20"/>
          <w:szCs w:val="20"/>
        </w:rPr>
        <w:t xml:space="preserve">Type B approval process for natural gas appliances </w:t>
      </w:r>
      <w:r w:rsidR="00CE00CC" w:rsidRPr="00CE00CC">
        <w:rPr>
          <w:rFonts w:ascii="Arial" w:hAnsi="Arial" w:cs="Arial"/>
          <w:sz w:val="20"/>
          <w:szCs w:val="20"/>
        </w:rPr>
        <w:t xml:space="preserve">can be applied to 100% hydrogen appliances. </w:t>
      </w:r>
    </w:p>
    <w:p w14:paraId="26AFFAE2" w14:textId="77777777" w:rsidR="00CE00CC" w:rsidRPr="00CE00CC" w:rsidRDefault="00CE00CC" w:rsidP="00CE00CC">
      <w:pPr>
        <w:spacing w:after="0" w:line="240" w:lineRule="auto"/>
        <w:rPr>
          <w:rFonts w:ascii="Arial" w:hAnsi="Arial" w:cs="Arial"/>
          <w:sz w:val="20"/>
          <w:szCs w:val="20"/>
        </w:rPr>
      </w:pPr>
    </w:p>
    <w:p w14:paraId="50080674" w14:textId="1BF0877C" w:rsidR="007078B9" w:rsidRPr="00CE00CC" w:rsidRDefault="007078B9" w:rsidP="007078B9">
      <w:pPr>
        <w:spacing w:after="0" w:line="240" w:lineRule="auto"/>
        <w:rPr>
          <w:rFonts w:ascii="Arial" w:hAnsi="Arial" w:cs="Arial"/>
          <w:sz w:val="20"/>
          <w:szCs w:val="20"/>
        </w:rPr>
      </w:pPr>
      <w:r w:rsidRPr="00CE00CC">
        <w:rPr>
          <w:rFonts w:ascii="Arial" w:hAnsi="Arial" w:cs="Arial"/>
          <w:sz w:val="20"/>
          <w:szCs w:val="20"/>
        </w:rPr>
        <w:t xml:space="preserve">The overall summary is that there </w:t>
      </w:r>
      <w:r w:rsidR="00CE00CC" w:rsidRPr="00CE00CC">
        <w:rPr>
          <w:rFonts w:ascii="Arial" w:hAnsi="Arial" w:cs="Arial"/>
          <w:sz w:val="20"/>
          <w:szCs w:val="20"/>
        </w:rPr>
        <w:t xml:space="preserve">is a high level of confidence </w:t>
      </w:r>
      <w:r w:rsidR="002952C9">
        <w:rPr>
          <w:rFonts w:ascii="Arial" w:hAnsi="Arial" w:cs="Arial"/>
          <w:sz w:val="20"/>
          <w:szCs w:val="20"/>
        </w:rPr>
        <w:t>that</w:t>
      </w:r>
      <w:r w:rsidR="00CE00CC" w:rsidRPr="00CE00CC">
        <w:rPr>
          <w:rFonts w:ascii="Arial" w:hAnsi="Arial" w:cs="Arial"/>
          <w:sz w:val="20"/>
          <w:szCs w:val="20"/>
        </w:rPr>
        <w:t xml:space="preserve"> Type B appliances </w:t>
      </w:r>
      <w:r w:rsidR="002952C9">
        <w:rPr>
          <w:rFonts w:ascii="Arial" w:hAnsi="Arial" w:cs="Arial"/>
          <w:sz w:val="20"/>
          <w:szCs w:val="20"/>
        </w:rPr>
        <w:t xml:space="preserve">may be operated with no </w:t>
      </w:r>
      <w:r w:rsidR="00CE00CC" w:rsidRPr="00CE00CC">
        <w:rPr>
          <w:rFonts w:ascii="Arial" w:hAnsi="Arial" w:cs="Arial"/>
          <w:sz w:val="20"/>
          <w:szCs w:val="20"/>
        </w:rPr>
        <w:t>changes</w:t>
      </w:r>
      <w:r w:rsidR="002952C9">
        <w:rPr>
          <w:rFonts w:ascii="Arial" w:hAnsi="Arial" w:cs="Arial"/>
          <w:sz w:val="20"/>
          <w:szCs w:val="20"/>
        </w:rPr>
        <w:t>,</w:t>
      </w:r>
      <w:r w:rsidR="00CE00CC" w:rsidRPr="00CE00CC">
        <w:rPr>
          <w:rFonts w:ascii="Arial" w:hAnsi="Arial" w:cs="Arial"/>
          <w:sz w:val="20"/>
          <w:szCs w:val="20"/>
        </w:rPr>
        <w:t xml:space="preserve"> or minor changes</w:t>
      </w:r>
      <w:r w:rsidR="002952C9">
        <w:rPr>
          <w:rFonts w:ascii="Arial" w:hAnsi="Arial" w:cs="Arial"/>
          <w:sz w:val="20"/>
          <w:szCs w:val="20"/>
        </w:rPr>
        <w:t>,</w:t>
      </w:r>
      <w:r w:rsidR="00CE00CC" w:rsidRPr="00CE00CC">
        <w:rPr>
          <w:rFonts w:ascii="Arial" w:hAnsi="Arial" w:cs="Arial"/>
          <w:sz w:val="20"/>
          <w:szCs w:val="20"/>
        </w:rPr>
        <w:t xml:space="preserve"> </w:t>
      </w:r>
      <w:r w:rsidR="002952C9">
        <w:rPr>
          <w:rFonts w:ascii="Arial" w:hAnsi="Arial" w:cs="Arial"/>
          <w:sz w:val="20"/>
          <w:szCs w:val="20"/>
        </w:rPr>
        <w:t>when</w:t>
      </w:r>
      <w:r w:rsidR="00CE00CC" w:rsidRPr="00CE00CC">
        <w:rPr>
          <w:rFonts w:ascii="Arial" w:hAnsi="Arial" w:cs="Arial"/>
          <w:sz w:val="20"/>
          <w:szCs w:val="20"/>
        </w:rPr>
        <w:t xml:space="preserve"> up to 20 vol% hydrogen </w:t>
      </w:r>
      <w:r w:rsidR="002952C9">
        <w:rPr>
          <w:rFonts w:ascii="Arial" w:hAnsi="Arial" w:cs="Arial"/>
          <w:sz w:val="20"/>
          <w:szCs w:val="20"/>
        </w:rPr>
        <w:t>is blended into natural gas, which is the upper limit proposed for</w:t>
      </w:r>
      <w:r w:rsidR="00CE00CC" w:rsidRPr="00CE00CC">
        <w:rPr>
          <w:rFonts w:ascii="Arial" w:hAnsi="Arial" w:cs="Arial"/>
          <w:sz w:val="20"/>
          <w:szCs w:val="20"/>
        </w:rPr>
        <w:t xml:space="preserve"> </w:t>
      </w:r>
      <w:r w:rsidR="002952C9">
        <w:rPr>
          <w:rFonts w:ascii="Arial" w:hAnsi="Arial" w:cs="Arial"/>
          <w:sz w:val="20"/>
          <w:szCs w:val="20"/>
        </w:rPr>
        <w:t>gas</w:t>
      </w:r>
      <w:r w:rsidR="00CE00CC" w:rsidRPr="00CE00CC">
        <w:rPr>
          <w:rFonts w:ascii="Arial" w:hAnsi="Arial" w:cs="Arial"/>
          <w:sz w:val="20"/>
          <w:szCs w:val="20"/>
        </w:rPr>
        <w:t xml:space="preserve"> network blends. </w:t>
      </w:r>
      <w:r w:rsidR="00CE00CC" w:rsidRPr="00CE00CC">
        <w:rPr>
          <w:rFonts w:ascii="Arial" w:hAnsi="Arial" w:cs="Arial"/>
          <w:sz w:val="20"/>
          <w:szCs w:val="20"/>
        </w:rPr>
        <w:t>These changes</w:t>
      </w:r>
      <w:r w:rsidRPr="00CE00CC">
        <w:rPr>
          <w:rFonts w:ascii="Arial" w:hAnsi="Arial" w:cs="Arial"/>
          <w:sz w:val="20"/>
          <w:szCs w:val="20"/>
        </w:rPr>
        <w:t xml:space="preserve"> will normally be performed by existing automatic temperature control. For other blends and 100% hydrogen, changes required are summarised in the table below.</w:t>
      </w:r>
    </w:p>
    <w:p w14:paraId="5EEC6914" w14:textId="77777777" w:rsidR="007078B9" w:rsidRPr="00CE00CC" w:rsidRDefault="007078B9" w:rsidP="007078B9">
      <w:pPr>
        <w:spacing w:after="0" w:line="240" w:lineRule="auto"/>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373"/>
        <w:gridCol w:w="3714"/>
      </w:tblGrid>
      <w:tr w:rsidR="007078B9" w:rsidRPr="00CE00CC" w14:paraId="3350B930" w14:textId="77777777" w:rsidTr="00A17DAA">
        <w:trPr>
          <w:trHeight w:val="300"/>
        </w:trPr>
        <w:tc>
          <w:tcPr>
            <w:tcW w:w="1980" w:type="dxa"/>
            <w:shd w:val="clear" w:color="auto" w:fill="auto"/>
            <w:vAlign w:val="center"/>
          </w:tcPr>
          <w:p w14:paraId="2E881569" w14:textId="77777777" w:rsidR="007078B9" w:rsidRPr="00CE00CC" w:rsidRDefault="007078B9" w:rsidP="00A17DAA">
            <w:pPr>
              <w:spacing w:after="0" w:line="240" w:lineRule="auto"/>
              <w:rPr>
                <w:rFonts w:ascii="Arial" w:eastAsia="Times New Roman" w:hAnsi="Arial" w:cs="Arial"/>
                <w:b/>
                <w:bCs/>
                <w:color w:val="000000"/>
                <w:sz w:val="20"/>
                <w:szCs w:val="20"/>
                <w:lang w:eastAsia="en-AU"/>
              </w:rPr>
            </w:pPr>
            <w:r w:rsidRPr="00CE00CC">
              <w:rPr>
                <w:rFonts w:ascii="Arial" w:eastAsia="Times New Roman" w:hAnsi="Arial" w:cs="Arial"/>
                <w:b/>
                <w:bCs/>
                <w:color w:val="000000"/>
                <w:sz w:val="20"/>
                <w:szCs w:val="20"/>
                <w:lang w:eastAsia="en-AU"/>
              </w:rPr>
              <w:t>vol% H2 in blend</w:t>
            </w:r>
          </w:p>
        </w:tc>
        <w:tc>
          <w:tcPr>
            <w:tcW w:w="3373" w:type="dxa"/>
            <w:shd w:val="clear" w:color="auto" w:fill="auto"/>
            <w:vAlign w:val="center"/>
          </w:tcPr>
          <w:p w14:paraId="35AA1B43" w14:textId="77777777" w:rsidR="007078B9" w:rsidRPr="00CE00CC" w:rsidRDefault="007078B9" w:rsidP="00A17DAA">
            <w:pPr>
              <w:spacing w:after="0" w:line="240" w:lineRule="auto"/>
              <w:rPr>
                <w:rFonts w:ascii="Arial" w:eastAsia="Times New Roman" w:hAnsi="Arial" w:cs="Arial"/>
                <w:b/>
                <w:bCs/>
                <w:color w:val="000000"/>
                <w:sz w:val="20"/>
                <w:szCs w:val="20"/>
                <w:lang w:eastAsia="en-AU"/>
              </w:rPr>
            </w:pPr>
            <w:r w:rsidRPr="00CE00CC">
              <w:rPr>
                <w:rFonts w:ascii="Arial" w:eastAsia="Times New Roman" w:hAnsi="Arial" w:cs="Arial"/>
                <w:b/>
                <w:bCs/>
                <w:color w:val="000000"/>
                <w:sz w:val="20"/>
                <w:szCs w:val="20"/>
                <w:lang w:eastAsia="en-AU"/>
              </w:rPr>
              <w:t>Operation observations</w:t>
            </w:r>
          </w:p>
        </w:tc>
        <w:tc>
          <w:tcPr>
            <w:tcW w:w="3714" w:type="dxa"/>
            <w:vAlign w:val="center"/>
          </w:tcPr>
          <w:p w14:paraId="59E4A311" w14:textId="77777777" w:rsidR="007078B9" w:rsidRPr="00CE00CC" w:rsidRDefault="007078B9" w:rsidP="00A17DAA">
            <w:pPr>
              <w:spacing w:after="0" w:line="240" w:lineRule="auto"/>
              <w:rPr>
                <w:rFonts w:ascii="Arial" w:eastAsia="Times New Roman" w:hAnsi="Arial" w:cs="Arial"/>
                <w:b/>
                <w:bCs/>
                <w:color w:val="000000"/>
                <w:sz w:val="20"/>
                <w:szCs w:val="20"/>
                <w:lang w:eastAsia="en-AU"/>
              </w:rPr>
            </w:pPr>
            <w:r w:rsidRPr="00CE00CC">
              <w:rPr>
                <w:rFonts w:ascii="Arial" w:eastAsia="Times New Roman" w:hAnsi="Arial" w:cs="Arial"/>
                <w:b/>
                <w:bCs/>
                <w:color w:val="000000"/>
                <w:sz w:val="20"/>
                <w:szCs w:val="20"/>
                <w:lang w:eastAsia="en-AU"/>
              </w:rPr>
              <w:t>Adjustment or change required</w:t>
            </w:r>
          </w:p>
        </w:tc>
      </w:tr>
      <w:tr w:rsidR="007078B9" w:rsidRPr="00CE00CC" w14:paraId="330D6DB5" w14:textId="77777777" w:rsidTr="00A17DAA">
        <w:trPr>
          <w:trHeight w:val="300"/>
        </w:trPr>
        <w:tc>
          <w:tcPr>
            <w:tcW w:w="1980" w:type="dxa"/>
            <w:shd w:val="clear" w:color="auto" w:fill="auto"/>
            <w:vAlign w:val="center"/>
            <w:hideMark/>
          </w:tcPr>
          <w:p w14:paraId="3ADD4380" w14:textId="77777777" w:rsidR="007078B9" w:rsidRPr="00CE00CC" w:rsidRDefault="007078B9" w:rsidP="00A17DAA">
            <w:pPr>
              <w:spacing w:after="0" w:line="240" w:lineRule="auto"/>
              <w:jc w:val="center"/>
              <w:rPr>
                <w:rFonts w:ascii="Arial" w:eastAsia="Times New Roman" w:hAnsi="Arial" w:cs="Arial"/>
                <w:b/>
                <w:bCs/>
                <w:color w:val="000000"/>
                <w:sz w:val="20"/>
                <w:szCs w:val="20"/>
                <w:lang w:eastAsia="en-AU"/>
              </w:rPr>
            </w:pPr>
            <w:r w:rsidRPr="00CE00CC">
              <w:rPr>
                <w:rFonts w:ascii="Arial" w:eastAsia="Times New Roman" w:hAnsi="Arial" w:cs="Arial"/>
                <w:color w:val="000000"/>
                <w:sz w:val="20"/>
                <w:szCs w:val="20"/>
                <w:lang w:eastAsia="en-AU"/>
              </w:rPr>
              <w:t>0-20%</w:t>
            </w:r>
          </w:p>
        </w:tc>
        <w:tc>
          <w:tcPr>
            <w:tcW w:w="3373" w:type="dxa"/>
            <w:shd w:val="clear" w:color="auto" w:fill="auto"/>
            <w:vAlign w:val="center"/>
          </w:tcPr>
          <w:p w14:paraId="55734FE7"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Normal operation of all burners</w:t>
            </w:r>
          </w:p>
        </w:tc>
        <w:tc>
          <w:tcPr>
            <w:tcW w:w="3714" w:type="dxa"/>
            <w:vAlign w:val="center"/>
          </w:tcPr>
          <w:p w14:paraId="43CD38EB" w14:textId="1FFED3A5"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Automatic temperature control on fuel rate. Air rate may need slight adjustment</w:t>
            </w:r>
            <w:r w:rsidR="0027700E">
              <w:rPr>
                <w:rFonts w:ascii="Arial" w:eastAsia="Times New Roman" w:hAnsi="Arial" w:cs="Arial"/>
                <w:color w:val="000000"/>
                <w:sz w:val="20"/>
                <w:szCs w:val="20"/>
                <w:lang w:eastAsia="en-AU"/>
              </w:rPr>
              <w:t>.</w:t>
            </w:r>
          </w:p>
        </w:tc>
      </w:tr>
      <w:tr w:rsidR="007078B9" w:rsidRPr="00CE00CC" w14:paraId="130E67ED" w14:textId="77777777" w:rsidTr="00A17DAA">
        <w:trPr>
          <w:trHeight w:val="300"/>
        </w:trPr>
        <w:tc>
          <w:tcPr>
            <w:tcW w:w="1980" w:type="dxa"/>
            <w:shd w:val="clear" w:color="auto" w:fill="auto"/>
            <w:vAlign w:val="center"/>
          </w:tcPr>
          <w:p w14:paraId="25368688" w14:textId="77777777" w:rsidR="007078B9" w:rsidRPr="00CE00CC" w:rsidRDefault="007078B9" w:rsidP="00A17DAA">
            <w:pPr>
              <w:spacing w:after="0" w:line="240" w:lineRule="auto"/>
              <w:jc w:val="center"/>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20% - 40%</w:t>
            </w:r>
          </w:p>
        </w:tc>
        <w:tc>
          <w:tcPr>
            <w:tcW w:w="3373" w:type="dxa"/>
            <w:shd w:val="clear" w:color="auto" w:fill="auto"/>
            <w:vAlign w:val="center"/>
          </w:tcPr>
          <w:p w14:paraId="37D3D7B6"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 xml:space="preserve">Beware flashback in premixed burners </w:t>
            </w:r>
          </w:p>
        </w:tc>
        <w:tc>
          <w:tcPr>
            <w:tcW w:w="3714" w:type="dxa"/>
            <w:vAlign w:val="center"/>
          </w:tcPr>
          <w:p w14:paraId="550745D2"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Limit primary air on premixed burners</w:t>
            </w:r>
          </w:p>
        </w:tc>
      </w:tr>
      <w:tr w:rsidR="007078B9" w:rsidRPr="00CE00CC" w14:paraId="2DCB5B42" w14:textId="77777777" w:rsidTr="00A17DAA">
        <w:trPr>
          <w:trHeight w:val="300"/>
        </w:trPr>
        <w:tc>
          <w:tcPr>
            <w:tcW w:w="1980" w:type="dxa"/>
            <w:shd w:val="clear" w:color="auto" w:fill="auto"/>
            <w:vAlign w:val="center"/>
          </w:tcPr>
          <w:p w14:paraId="2AB5B263" w14:textId="77777777" w:rsidR="007078B9" w:rsidRPr="00CE00CC" w:rsidRDefault="007078B9" w:rsidP="00A17DAA">
            <w:pPr>
              <w:spacing w:after="0" w:line="240" w:lineRule="auto"/>
              <w:jc w:val="center"/>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40% - 50 %</w:t>
            </w:r>
          </w:p>
        </w:tc>
        <w:tc>
          <w:tcPr>
            <w:tcW w:w="3373" w:type="dxa"/>
            <w:shd w:val="clear" w:color="auto" w:fill="auto"/>
            <w:vAlign w:val="center"/>
          </w:tcPr>
          <w:p w14:paraId="178937CA"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Beware flashback in premixed burners</w:t>
            </w:r>
          </w:p>
        </w:tc>
        <w:tc>
          <w:tcPr>
            <w:tcW w:w="3714" w:type="dxa"/>
            <w:vAlign w:val="center"/>
          </w:tcPr>
          <w:p w14:paraId="062E003A"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 xml:space="preserve">Replace premixed burners with nozzle mix </w:t>
            </w:r>
          </w:p>
        </w:tc>
      </w:tr>
      <w:tr w:rsidR="007078B9" w:rsidRPr="00CE00CC" w14:paraId="1A70471D" w14:textId="77777777" w:rsidTr="00A17DAA">
        <w:trPr>
          <w:trHeight w:val="300"/>
        </w:trPr>
        <w:tc>
          <w:tcPr>
            <w:tcW w:w="1980" w:type="dxa"/>
            <w:shd w:val="clear" w:color="auto" w:fill="auto"/>
            <w:vAlign w:val="center"/>
          </w:tcPr>
          <w:p w14:paraId="6D78B091" w14:textId="77777777" w:rsidR="007078B9" w:rsidRPr="00CE00CC" w:rsidRDefault="007078B9" w:rsidP="00A17DAA">
            <w:pPr>
              <w:spacing w:after="0" w:line="240" w:lineRule="auto"/>
              <w:jc w:val="center"/>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50 % – 100 %</w:t>
            </w:r>
          </w:p>
        </w:tc>
        <w:tc>
          <w:tcPr>
            <w:tcW w:w="3373" w:type="dxa"/>
            <w:shd w:val="clear" w:color="auto" w:fill="auto"/>
            <w:vAlign w:val="center"/>
          </w:tcPr>
          <w:p w14:paraId="4A1A905A"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High burner metal temperatures</w:t>
            </w:r>
          </w:p>
        </w:tc>
        <w:tc>
          <w:tcPr>
            <w:tcW w:w="3714" w:type="dxa"/>
            <w:vAlign w:val="center"/>
          </w:tcPr>
          <w:p w14:paraId="7820B943"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 xml:space="preserve">Modified or new hydrogen burners </w:t>
            </w:r>
          </w:p>
        </w:tc>
      </w:tr>
      <w:tr w:rsidR="007078B9" w:rsidRPr="00CE00CC" w14:paraId="3BDE1473" w14:textId="77777777" w:rsidTr="00A17DAA">
        <w:trPr>
          <w:trHeight w:val="300"/>
        </w:trPr>
        <w:tc>
          <w:tcPr>
            <w:tcW w:w="1980" w:type="dxa"/>
            <w:shd w:val="clear" w:color="auto" w:fill="auto"/>
            <w:vAlign w:val="center"/>
            <w:hideMark/>
          </w:tcPr>
          <w:p w14:paraId="6064DC1B" w14:textId="77777777" w:rsidR="007078B9" w:rsidRPr="00CE00CC" w:rsidRDefault="007078B9" w:rsidP="00A17DAA">
            <w:pPr>
              <w:spacing w:after="0" w:line="240" w:lineRule="auto"/>
              <w:jc w:val="center"/>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&gt; 70%</w:t>
            </w:r>
          </w:p>
        </w:tc>
        <w:tc>
          <w:tcPr>
            <w:tcW w:w="3373" w:type="dxa"/>
            <w:shd w:val="clear" w:color="auto" w:fill="auto"/>
            <w:vAlign w:val="center"/>
          </w:tcPr>
          <w:p w14:paraId="185CD6F8"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Ionisation rod flame detector perform</w:t>
            </w:r>
          </w:p>
        </w:tc>
        <w:tc>
          <w:tcPr>
            <w:tcW w:w="3714" w:type="dxa"/>
            <w:vAlign w:val="center"/>
          </w:tcPr>
          <w:p w14:paraId="3CAFB5CB"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Replace with UV flame detector</w:t>
            </w:r>
          </w:p>
        </w:tc>
      </w:tr>
      <w:tr w:rsidR="007078B9" w:rsidRPr="00CE00CC" w14:paraId="4D39AC6C" w14:textId="77777777" w:rsidTr="00A17DAA">
        <w:trPr>
          <w:trHeight w:val="300"/>
        </w:trPr>
        <w:tc>
          <w:tcPr>
            <w:tcW w:w="1980" w:type="dxa"/>
            <w:shd w:val="clear" w:color="auto" w:fill="auto"/>
            <w:vAlign w:val="center"/>
            <w:hideMark/>
          </w:tcPr>
          <w:p w14:paraId="51C3423D" w14:textId="77777777" w:rsidR="007078B9" w:rsidRPr="00CE00CC" w:rsidRDefault="007078B9" w:rsidP="00A17DAA">
            <w:pPr>
              <w:spacing w:after="0" w:line="240" w:lineRule="auto"/>
              <w:jc w:val="center"/>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&gt;80%</w:t>
            </w:r>
          </w:p>
        </w:tc>
        <w:tc>
          <w:tcPr>
            <w:tcW w:w="3373" w:type="dxa"/>
            <w:shd w:val="clear" w:color="auto" w:fill="auto"/>
            <w:vAlign w:val="center"/>
          </w:tcPr>
          <w:p w14:paraId="4AD0FC6B"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Potential for high NOx emissions</w:t>
            </w:r>
          </w:p>
        </w:tc>
        <w:tc>
          <w:tcPr>
            <w:tcW w:w="3714" w:type="dxa"/>
            <w:vAlign w:val="center"/>
          </w:tcPr>
          <w:p w14:paraId="4E70820B"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 xml:space="preserve">Replace with low NOx hydrogen burners </w:t>
            </w:r>
          </w:p>
        </w:tc>
      </w:tr>
      <w:tr w:rsidR="007078B9" w:rsidRPr="00CE00CC" w14:paraId="7983895B" w14:textId="77777777" w:rsidTr="00A17DAA">
        <w:trPr>
          <w:trHeight w:val="300"/>
        </w:trPr>
        <w:tc>
          <w:tcPr>
            <w:tcW w:w="1980" w:type="dxa"/>
            <w:shd w:val="clear" w:color="auto" w:fill="auto"/>
            <w:vAlign w:val="center"/>
          </w:tcPr>
          <w:p w14:paraId="38988F90" w14:textId="77777777" w:rsidR="007078B9" w:rsidRPr="00CE00CC" w:rsidRDefault="007078B9" w:rsidP="00A17DAA">
            <w:pPr>
              <w:spacing w:after="0" w:line="240" w:lineRule="auto"/>
              <w:jc w:val="center"/>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90 -100%</w:t>
            </w:r>
          </w:p>
        </w:tc>
        <w:tc>
          <w:tcPr>
            <w:tcW w:w="3373" w:type="dxa"/>
            <w:shd w:val="clear" w:color="auto" w:fill="auto"/>
            <w:vAlign w:val="center"/>
          </w:tcPr>
          <w:p w14:paraId="4FC86978"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Slight reduction in heat transfer</w:t>
            </w:r>
          </w:p>
        </w:tc>
        <w:tc>
          <w:tcPr>
            <w:tcW w:w="3714" w:type="dxa"/>
            <w:vAlign w:val="center"/>
          </w:tcPr>
          <w:p w14:paraId="5682F87C" w14:textId="77777777" w:rsidR="007078B9" w:rsidRPr="00CE00CC" w:rsidRDefault="007078B9" w:rsidP="00A17DAA">
            <w:pPr>
              <w:spacing w:after="0" w:line="240" w:lineRule="auto"/>
              <w:rPr>
                <w:rFonts w:ascii="Arial" w:eastAsia="Times New Roman" w:hAnsi="Arial" w:cs="Arial"/>
                <w:color w:val="000000"/>
                <w:sz w:val="20"/>
                <w:szCs w:val="20"/>
                <w:lang w:eastAsia="en-AU"/>
              </w:rPr>
            </w:pPr>
            <w:r w:rsidRPr="00CE00CC">
              <w:rPr>
                <w:rFonts w:ascii="Arial" w:eastAsia="Times New Roman" w:hAnsi="Arial" w:cs="Arial"/>
                <w:color w:val="000000"/>
                <w:sz w:val="20"/>
                <w:szCs w:val="20"/>
                <w:lang w:eastAsia="en-AU"/>
              </w:rPr>
              <w:t>Design hydrogen burners for required duty. Potentially blend with 10% biomethane.</w:t>
            </w:r>
          </w:p>
        </w:tc>
      </w:tr>
    </w:tbl>
    <w:p w14:paraId="363131D8" w14:textId="77777777" w:rsidR="00A45CE2" w:rsidRPr="00CE00CC" w:rsidRDefault="00A45CE2" w:rsidP="1C3B124F">
      <w:pPr>
        <w:rPr>
          <w:rStyle w:val="Strong"/>
          <w:rFonts w:ascii="Arial" w:eastAsia="Arial" w:hAnsi="Arial" w:cs="Arial"/>
          <w:color w:val="404040" w:themeColor="text1" w:themeTint="BF"/>
          <w:sz w:val="20"/>
          <w:szCs w:val="20"/>
        </w:rPr>
      </w:pPr>
    </w:p>
    <w:p w14:paraId="4AE1182A" w14:textId="093B11EE" w:rsidR="6067BEDF" w:rsidRPr="00CE00CC" w:rsidRDefault="6067BEDF" w:rsidP="1C3B124F">
      <w:pPr>
        <w:rPr>
          <w:rStyle w:val="Strong"/>
          <w:rFonts w:ascii="Arial" w:eastAsia="Arial" w:hAnsi="Arial" w:cs="Arial"/>
          <w:color w:val="404040" w:themeColor="text1" w:themeTint="BF"/>
          <w:sz w:val="20"/>
          <w:szCs w:val="20"/>
        </w:rPr>
      </w:pPr>
      <w:r w:rsidRPr="00CE00CC">
        <w:rPr>
          <w:rStyle w:val="Strong"/>
          <w:rFonts w:ascii="Arial" w:eastAsia="Arial" w:hAnsi="Arial" w:cs="Arial"/>
          <w:color w:val="404040" w:themeColor="text1" w:themeTint="BF"/>
          <w:sz w:val="20"/>
          <w:szCs w:val="20"/>
        </w:rPr>
        <w:t>Acknowledgements</w:t>
      </w:r>
    </w:p>
    <w:p w14:paraId="33EB0254" w14:textId="77777777" w:rsidR="006369B4" w:rsidRPr="00CE00CC" w:rsidRDefault="00EC7D2E" w:rsidP="006369B4">
      <w:pPr>
        <w:spacing w:line="240" w:lineRule="auto"/>
        <w:rPr>
          <w:rFonts w:ascii="Arial" w:eastAsia="Arial" w:hAnsi="Arial" w:cs="Arial"/>
          <w:color w:val="404040" w:themeColor="text1" w:themeTint="BF"/>
          <w:sz w:val="20"/>
          <w:szCs w:val="20"/>
        </w:rPr>
      </w:pPr>
      <w:r w:rsidRPr="00EC7D2E">
        <w:rPr>
          <w:rFonts w:ascii="Arial" w:eastAsia="Arial" w:hAnsi="Arial" w:cs="Arial"/>
          <w:b/>
          <w:bCs/>
          <w:color w:val="404040" w:themeColor="text1" w:themeTint="BF"/>
          <w:sz w:val="20"/>
          <w:szCs w:val="20"/>
        </w:rPr>
        <w:t>Authors</w:t>
      </w:r>
      <w:r w:rsidRPr="00EC7D2E">
        <w:rPr>
          <w:rFonts w:ascii="Arial" w:eastAsia="Arial" w:hAnsi="Arial" w:cs="Arial"/>
          <w:color w:val="404040" w:themeColor="text1" w:themeTint="BF"/>
          <w:sz w:val="20"/>
          <w:szCs w:val="20"/>
        </w:rPr>
        <w:t xml:space="preserve">: </w:t>
      </w:r>
      <w:r w:rsidRPr="00CE00CC">
        <w:rPr>
          <w:rFonts w:ascii="Arial" w:eastAsia="Arial" w:hAnsi="Arial" w:cs="Arial"/>
          <w:color w:val="404040" w:themeColor="text1" w:themeTint="BF"/>
          <w:sz w:val="20"/>
          <w:szCs w:val="20"/>
        </w:rPr>
        <w:t>Doug Proud</w:t>
      </w:r>
      <w:r w:rsidRPr="00CE00CC">
        <w:rPr>
          <w:rFonts w:ascii="Arial" w:eastAsia="Arial" w:hAnsi="Arial" w:cs="Arial"/>
          <w:color w:val="404040" w:themeColor="text1" w:themeTint="BF"/>
          <w:sz w:val="20"/>
          <w:szCs w:val="20"/>
        </w:rPr>
        <w:t xml:space="preserve">, Peijun Guo, </w:t>
      </w:r>
      <w:r w:rsidRPr="00EC7D2E">
        <w:rPr>
          <w:rFonts w:ascii="Arial" w:eastAsia="Arial" w:hAnsi="Arial" w:cs="Arial"/>
          <w:color w:val="404040" w:themeColor="text1" w:themeTint="BF"/>
          <w:sz w:val="20"/>
          <w:szCs w:val="20"/>
        </w:rPr>
        <w:t>Neil Smith</w:t>
      </w:r>
    </w:p>
    <w:p w14:paraId="17883EDF" w14:textId="5B49A926" w:rsidR="00EC7D2E" w:rsidRPr="00EC7D2E" w:rsidRDefault="00EC7D2E" w:rsidP="006369B4">
      <w:pPr>
        <w:spacing w:line="240" w:lineRule="auto"/>
        <w:rPr>
          <w:rFonts w:ascii="Arial" w:eastAsia="Arial" w:hAnsi="Arial" w:cs="Arial"/>
          <w:color w:val="404040" w:themeColor="text1" w:themeTint="BF"/>
          <w:sz w:val="20"/>
          <w:szCs w:val="20"/>
        </w:rPr>
      </w:pPr>
      <w:r w:rsidRPr="00EC7D2E">
        <w:rPr>
          <w:rFonts w:ascii="Arial" w:eastAsia="Arial" w:hAnsi="Arial" w:cs="Arial"/>
          <w:b/>
          <w:bCs/>
          <w:color w:val="404040" w:themeColor="text1" w:themeTint="BF"/>
          <w:sz w:val="20"/>
          <w:szCs w:val="20"/>
        </w:rPr>
        <w:t xml:space="preserve">Project Team: </w:t>
      </w:r>
      <w:r w:rsidRPr="00EC7D2E">
        <w:rPr>
          <w:rFonts w:ascii="Arial" w:eastAsia="Arial" w:hAnsi="Arial" w:cs="Arial"/>
          <w:color w:val="404040" w:themeColor="text1" w:themeTint="BF"/>
          <w:sz w:val="20"/>
          <w:szCs w:val="20"/>
        </w:rPr>
        <w:t>Peter Ashman, Paul Medwell, Neil Smith, Doug Proud</w:t>
      </w:r>
      <w:r w:rsidRPr="00CE00CC">
        <w:rPr>
          <w:rFonts w:ascii="Arial" w:eastAsia="Arial" w:hAnsi="Arial" w:cs="Arial"/>
          <w:color w:val="404040" w:themeColor="text1" w:themeTint="BF"/>
          <w:sz w:val="20"/>
          <w:szCs w:val="20"/>
        </w:rPr>
        <w:t xml:space="preserve">, Peijun Guo </w:t>
      </w:r>
      <w:r w:rsidRPr="00EC7D2E">
        <w:rPr>
          <w:rFonts w:ascii="Arial" w:eastAsia="Arial" w:hAnsi="Arial" w:cs="Arial"/>
          <w:color w:val="404040" w:themeColor="text1" w:themeTint="BF"/>
          <w:sz w:val="20"/>
          <w:szCs w:val="20"/>
        </w:rPr>
        <w:t xml:space="preserve">– The University of Adelaide </w:t>
      </w:r>
    </w:p>
    <w:p w14:paraId="107C26B8" w14:textId="5D74298C" w:rsidR="006369B4" w:rsidRPr="00CE00CC" w:rsidRDefault="00EC7D2E" w:rsidP="006369B4">
      <w:pPr>
        <w:pStyle w:val="Reversetext"/>
        <w:spacing w:line="240" w:lineRule="auto"/>
        <w:rPr>
          <w:color w:val="auto"/>
          <w:sz w:val="20"/>
          <w:szCs w:val="20"/>
        </w:rPr>
      </w:pPr>
      <w:r w:rsidRPr="00CE00CC">
        <w:rPr>
          <w:rFonts w:eastAsia="Arial" w:cs="Arial"/>
          <w:b/>
          <w:bCs/>
          <w:color w:val="404040" w:themeColor="text1" w:themeTint="BF"/>
          <w:sz w:val="20"/>
          <w:szCs w:val="20"/>
        </w:rPr>
        <w:t>Industry Advisers</w:t>
      </w:r>
      <w:r w:rsidRPr="00CE00CC">
        <w:rPr>
          <w:rFonts w:eastAsia="Arial" w:cs="Arial"/>
          <w:color w:val="404040" w:themeColor="text1" w:themeTint="BF"/>
          <w:sz w:val="20"/>
          <w:szCs w:val="20"/>
        </w:rPr>
        <w:t xml:space="preserve">: </w:t>
      </w:r>
      <w:r w:rsidR="006369B4" w:rsidRPr="00CE00CC">
        <w:rPr>
          <w:color w:val="auto"/>
          <w:sz w:val="20"/>
          <w:szCs w:val="20"/>
        </w:rPr>
        <w:t>Rob Davis, Troy Praag (AGIG)</w:t>
      </w:r>
      <w:r w:rsidR="006369B4" w:rsidRPr="00CE00CC">
        <w:rPr>
          <w:color w:val="auto"/>
          <w:sz w:val="20"/>
          <w:szCs w:val="20"/>
        </w:rPr>
        <w:t xml:space="preserve">, </w:t>
      </w:r>
      <w:r w:rsidR="006369B4" w:rsidRPr="00CE00CC">
        <w:rPr>
          <w:color w:val="auto"/>
          <w:sz w:val="20"/>
          <w:szCs w:val="20"/>
        </w:rPr>
        <w:t>Jaga Namebeley and Richard Brewell (ATCO)</w:t>
      </w:r>
      <w:r w:rsidR="006369B4" w:rsidRPr="00CE00CC">
        <w:rPr>
          <w:color w:val="auto"/>
          <w:sz w:val="20"/>
          <w:szCs w:val="20"/>
        </w:rPr>
        <w:t xml:space="preserve">, </w:t>
      </w:r>
      <w:r w:rsidR="006369B4" w:rsidRPr="00CE00CC">
        <w:rPr>
          <w:color w:val="auto"/>
          <w:sz w:val="20"/>
          <w:szCs w:val="20"/>
        </w:rPr>
        <w:t>Paul Beaumont (RSHQ)</w:t>
      </w:r>
      <w:r w:rsidR="006369B4" w:rsidRPr="00CE00CC">
        <w:rPr>
          <w:color w:val="auto"/>
          <w:sz w:val="20"/>
          <w:szCs w:val="20"/>
        </w:rPr>
        <w:t xml:space="preserve">, </w:t>
      </w:r>
      <w:r w:rsidR="006369B4" w:rsidRPr="00CE00CC">
        <w:rPr>
          <w:color w:val="auto"/>
          <w:sz w:val="20"/>
          <w:szCs w:val="20"/>
        </w:rPr>
        <w:t>Peter Kacperek (</w:t>
      </w:r>
      <w:proofErr w:type="spellStart"/>
      <w:r w:rsidR="006369B4" w:rsidRPr="00CE00CC">
        <w:rPr>
          <w:color w:val="auto"/>
          <w:sz w:val="20"/>
          <w:szCs w:val="20"/>
        </w:rPr>
        <w:t>Enscope</w:t>
      </w:r>
      <w:proofErr w:type="spellEnd"/>
      <w:r w:rsidR="006369B4" w:rsidRPr="00CE00CC">
        <w:rPr>
          <w:color w:val="auto"/>
          <w:sz w:val="20"/>
          <w:szCs w:val="20"/>
        </w:rPr>
        <w:t>)</w:t>
      </w:r>
      <w:r w:rsidR="006369B4" w:rsidRPr="00CE00CC">
        <w:rPr>
          <w:color w:val="auto"/>
          <w:sz w:val="20"/>
          <w:szCs w:val="20"/>
        </w:rPr>
        <w:t xml:space="preserve">, </w:t>
      </w:r>
      <w:r w:rsidR="006369B4" w:rsidRPr="00CE00CC">
        <w:rPr>
          <w:color w:val="auto"/>
          <w:sz w:val="20"/>
          <w:szCs w:val="20"/>
        </w:rPr>
        <w:t>Kevin Dwyer (ESV)</w:t>
      </w:r>
      <w:r w:rsidR="006369B4" w:rsidRPr="00CE00CC">
        <w:rPr>
          <w:color w:val="auto"/>
          <w:sz w:val="20"/>
          <w:szCs w:val="20"/>
        </w:rPr>
        <w:t xml:space="preserve">, </w:t>
      </w:r>
      <w:r w:rsidR="006369B4" w:rsidRPr="00CE00CC">
        <w:rPr>
          <w:color w:val="auto"/>
          <w:sz w:val="20"/>
          <w:szCs w:val="20"/>
        </w:rPr>
        <w:t>Eric Bardy (SEA Gas)</w:t>
      </w:r>
      <w:r w:rsidR="006369B4" w:rsidRPr="00CE00CC">
        <w:rPr>
          <w:color w:val="auto"/>
          <w:sz w:val="20"/>
          <w:szCs w:val="20"/>
        </w:rPr>
        <w:t xml:space="preserve">, </w:t>
      </w:r>
      <w:r w:rsidR="006369B4" w:rsidRPr="00CE00CC">
        <w:rPr>
          <w:color w:val="auto"/>
          <w:sz w:val="20"/>
          <w:szCs w:val="20"/>
        </w:rPr>
        <w:t>David</w:t>
      </w:r>
      <w:r w:rsidR="006369B4" w:rsidRPr="00CE00CC">
        <w:rPr>
          <w:color w:val="auto"/>
          <w:sz w:val="20"/>
          <w:szCs w:val="20"/>
        </w:rPr>
        <w:t xml:space="preserve"> </w:t>
      </w:r>
      <w:r w:rsidR="006369B4" w:rsidRPr="00CE00CC">
        <w:rPr>
          <w:color w:val="auto"/>
          <w:sz w:val="20"/>
          <w:szCs w:val="20"/>
        </w:rPr>
        <w:t>Forster (GPA Engineering)</w:t>
      </w:r>
      <w:r w:rsidR="006369B4" w:rsidRPr="00CE00CC">
        <w:rPr>
          <w:color w:val="auto"/>
          <w:sz w:val="20"/>
          <w:szCs w:val="20"/>
        </w:rPr>
        <w:t xml:space="preserve">, </w:t>
      </w:r>
      <w:r w:rsidR="006369B4" w:rsidRPr="00CE00CC">
        <w:rPr>
          <w:color w:val="auto"/>
          <w:sz w:val="20"/>
          <w:szCs w:val="20"/>
        </w:rPr>
        <w:t>Anu Anand (</w:t>
      </w:r>
      <w:proofErr w:type="spellStart"/>
      <w:r w:rsidR="006369B4" w:rsidRPr="00CE00CC">
        <w:rPr>
          <w:color w:val="auto"/>
          <w:sz w:val="20"/>
          <w:szCs w:val="20"/>
        </w:rPr>
        <w:t>Techrite</w:t>
      </w:r>
      <w:proofErr w:type="spellEnd"/>
      <w:r w:rsidR="006369B4" w:rsidRPr="00CE00CC">
        <w:rPr>
          <w:color w:val="auto"/>
          <w:sz w:val="20"/>
          <w:szCs w:val="20"/>
        </w:rPr>
        <w:t xml:space="preserve"> and GAMAA)</w:t>
      </w:r>
      <w:r w:rsidR="006369B4" w:rsidRPr="00CE00CC">
        <w:rPr>
          <w:color w:val="auto"/>
          <w:sz w:val="20"/>
          <w:szCs w:val="20"/>
        </w:rPr>
        <w:t xml:space="preserve">, </w:t>
      </w:r>
      <w:r w:rsidR="006369B4" w:rsidRPr="00CE00CC">
        <w:rPr>
          <w:color w:val="auto"/>
          <w:sz w:val="20"/>
          <w:szCs w:val="20"/>
        </w:rPr>
        <w:t>Stephen Pearce (GASCO)</w:t>
      </w:r>
      <w:r w:rsidR="006369B4" w:rsidRPr="00CE00CC">
        <w:rPr>
          <w:color w:val="auto"/>
          <w:sz w:val="20"/>
          <w:szCs w:val="20"/>
        </w:rPr>
        <w:t xml:space="preserve">, </w:t>
      </w:r>
      <w:r w:rsidR="006369B4" w:rsidRPr="00CE00CC">
        <w:rPr>
          <w:color w:val="auto"/>
          <w:sz w:val="20"/>
          <w:szCs w:val="20"/>
        </w:rPr>
        <w:t>Vince</w:t>
      </w:r>
      <w:r w:rsidR="006369B4" w:rsidRPr="00CE00CC">
        <w:rPr>
          <w:color w:val="auto"/>
          <w:sz w:val="20"/>
          <w:szCs w:val="20"/>
        </w:rPr>
        <w:t xml:space="preserve"> </w:t>
      </w:r>
      <w:r w:rsidR="006369B4" w:rsidRPr="00CE00CC">
        <w:rPr>
          <w:color w:val="auto"/>
          <w:sz w:val="20"/>
          <w:szCs w:val="20"/>
        </w:rPr>
        <w:t>Monsignor (</w:t>
      </w:r>
      <w:proofErr w:type="spellStart"/>
      <w:r w:rsidR="006369B4" w:rsidRPr="00CE00CC">
        <w:rPr>
          <w:color w:val="auto"/>
          <w:sz w:val="20"/>
          <w:szCs w:val="20"/>
        </w:rPr>
        <w:t>GasTrain</w:t>
      </w:r>
      <w:proofErr w:type="spellEnd"/>
      <w:r w:rsidR="006369B4" w:rsidRPr="00CE00CC">
        <w:rPr>
          <w:color w:val="auto"/>
          <w:sz w:val="20"/>
          <w:szCs w:val="20"/>
        </w:rPr>
        <w:t>)</w:t>
      </w:r>
      <w:r w:rsidR="006369B4" w:rsidRPr="00CE00CC">
        <w:rPr>
          <w:color w:val="auto"/>
          <w:sz w:val="20"/>
          <w:szCs w:val="20"/>
        </w:rPr>
        <w:t xml:space="preserve">, </w:t>
      </w:r>
      <w:r w:rsidR="006369B4" w:rsidRPr="00CE00CC">
        <w:rPr>
          <w:color w:val="auto"/>
          <w:sz w:val="20"/>
          <w:szCs w:val="20"/>
        </w:rPr>
        <w:t>Matthew Anderson, Peter Newman (Furnace Engineering)</w:t>
      </w:r>
      <w:r w:rsidR="006369B4" w:rsidRPr="00CE00CC">
        <w:rPr>
          <w:color w:val="auto"/>
          <w:sz w:val="20"/>
          <w:szCs w:val="20"/>
        </w:rPr>
        <w:t xml:space="preserve">, </w:t>
      </w:r>
      <w:r w:rsidR="006369B4" w:rsidRPr="00CE00CC">
        <w:rPr>
          <w:color w:val="auto"/>
          <w:sz w:val="20"/>
          <w:szCs w:val="20"/>
        </w:rPr>
        <w:t>Terence Ricketts (Ignite Gas)</w:t>
      </w:r>
      <w:r w:rsidR="006369B4" w:rsidRPr="00CE00CC">
        <w:rPr>
          <w:color w:val="auto"/>
          <w:sz w:val="20"/>
          <w:szCs w:val="20"/>
        </w:rPr>
        <w:t xml:space="preserve">, </w:t>
      </w:r>
      <w:r w:rsidR="006369B4" w:rsidRPr="00CE00CC">
        <w:rPr>
          <w:color w:val="auto"/>
          <w:sz w:val="20"/>
          <w:szCs w:val="20"/>
        </w:rPr>
        <w:t>David Best (All Controls)</w:t>
      </w:r>
    </w:p>
    <w:p w14:paraId="337B0AFD" w14:textId="05E60BA2" w:rsidR="00A45CE2" w:rsidRPr="00CE00CC" w:rsidRDefault="00A45CE2" w:rsidP="1C3B124F">
      <w:pPr>
        <w:rPr>
          <w:rStyle w:val="Strong"/>
          <w:rFonts w:ascii="Arial" w:eastAsia="Arial" w:hAnsi="Arial" w:cs="Arial"/>
          <w:b w:val="0"/>
          <w:bCs w:val="0"/>
          <w:sz w:val="20"/>
          <w:szCs w:val="20"/>
          <w:lang w:val="en-US"/>
        </w:rPr>
      </w:pPr>
    </w:p>
    <w:p w14:paraId="2D172958" w14:textId="3E162216" w:rsidR="50F29594" w:rsidRPr="00CE00CC" w:rsidRDefault="50F29594" w:rsidP="00A45CE2">
      <w:pPr>
        <w:ind w:left="1418" w:right="509"/>
        <w:jc w:val="center"/>
        <w:rPr>
          <w:rFonts w:ascii="Arial" w:eastAsia="Arial" w:hAnsi="Arial" w:cs="Arial"/>
          <w:b/>
          <w:color w:val="404040" w:themeColor="text1" w:themeTint="BF"/>
          <w:sz w:val="20"/>
          <w:szCs w:val="20"/>
        </w:rPr>
      </w:pPr>
      <w:r w:rsidRPr="00CE00CC">
        <w:rPr>
          <w:rStyle w:val="Strong"/>
          <w:rFonts w:ascii="Arial" w:eastAsia="Arial" w:hAnsi="Arial" w:cs="Arial"/>
          <w:b w:val="0"/>
          <w:bCs w:val="0"/>
          <w:color w:val="404040" w:themeColor="text1" w:themeTint="BF"/>
          <w:sz w:val="20"/>
          <w:szCs w:val="20"/>
        </w:rPr>
        <w:t>Future Fuels CRC is supported through the Australian Government’s Cooperative Research Centres Program. We gratefully acknowledge the cash and in-kind support from all our research, government and industry participants.</w:t>
      </w:r>
    </w:p>
    <w:p w14:paraId="3B6CD441" w14:textId="5ADE8949" w:rsidR="00A45CE2" w:rsidRDefault="007078B9" w:rsidP="00A45CE2">
      <w:pPr>
        <w:jc w:val="center"/>
        <w:rPr>
          <w:rFonts w:ascii="Arial" w:eastAsia="Arial" w:hAnsi="Arial" w:cs="Arial"/>
          <w:sz w:val="18"/>
          <w:szCs w:val="18"/>
        </w:rPr>
      </w:pPr>
      <w:r>
        <w:rPr>
          <w:noProof/>
          <w:lang w:eastAsia="en-AU"/>
        </w:rPr>
        <w:pict w14:anchorId="77AD4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66.5pt">
            <v:imagedata r:id="rId7" o:title="DISER-AusIndustry-CRC-inline-colour"/>
          </v:shape>
        </w:pict>
      </w:r>
    </w:p>
    <w:p w14:paraId="66367A54" w14:textId="7409A465" w:rsidR="03C3C6E3" w:rsidRDefault="03C3C6E3" w:rsidP="03C3C6E3">
      <w:pPr>
        <w:rPr>
          <w:rFonts w:ascii="Arial" w:hAnsi="Arial" w:cs="Arial"/>
          <w:color w:val="595959" w:themeColor="text1" w:themeTint="A6"/>
          <w:sz w:val="18"/>
          <w:szCs w:val="18"/>
        </w:rPr>
      </w:pPr>
    </w:p>
    <w:p w14:paraId="0A37501D" w14:textId="77777777" w:rsidR="00226C70" w:rsidRPr="00226C70" w:rsidRDefault="00226C70">
      <w:pPr>
        <w:rPr>
          <w:rStyle w:val="Strong"/>
          <w:rFonts w:ascii="Arial" w:hAnsi="Arial" w:cs="Arial"/>
          <w:b w:val="0"/>
          <w:color w:val="595959" w:themeColor="text1" w:themeTint="A6"/>
          <w:sz w:val="18"/>
          <w:szCs w:val="18"/>
          <w:shd w:val="clear" w:color="auto" w:fill="FFFFFF"/>
        </w:rPr>
      </w:pPr>
    </w:p>
    <w:p w14:paraId="5DAB6C7B" w14:textId="77777777" w:rsidR="00EF0896" w:rsidRDefault="00EF0896">
      <w:pPr>
        <w:rPr>
          <w:rStyle w:val="Strong"/>
          <w:rFonts w:ascii="Arial" w:hAnsi="Arial" w:cs="Arial"/>
          <w:b w:val="0"/>
          <w:color w:val="4F595B"/>
          <w:sz w:val="18"/>
          <w:szCs w:val="18"/>
          <w:shd w:val="clear" w:color="auto" w:fill="FFFFFF"/>
        </w:rPr>
      </w:pPr>
    </w:p>
    <w:p w14:paraId="6A05A809" w14:textId="77777777" w:rsidR="00DF30B8" w:rsidRDefault="00DF30B8">
      <w:pPr>
        <w:rPr>
          <w:rFonts w:ascii="Arial" w:hAnsi="Arial" w:cs="Arial"/>
        </w:rPr>
      </w:pPr>
    </w:p>
    <w:sectPr w:rsidR="00DF30B8" w:rsidSect="00A45CE2">
      <w:head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4619" w14:textId="77777777" w:rsidR="002A4FA5" w:rsidRDefault="002A4FA5" w:rsidP="003E717D">
      <w:pPr>
        <w:spacing w:after="0" w:line="240" w:lineRule="auto"/>
      </w:pPr>
      <w:r>
        <w:separator/>
      </w:r>
    </w:p>
  </w:endnote>
  <w:endnote w:type="continuationSeparator" w:id="0">
    <w:p w14:paraId="0B1AF2CF" w14:textId="77777777" w:rsidR="002A4FA5" w:rsidRDefault="002A4FA5" w:rsidP="003E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276B1" w14:textId="77777777" w:rsidR="002A4FA5" w:rsidRDefault="002A4FA5" w:rsidP="003E717D">
      <w:pPr>
        <w:spacing w:after="0" w:line="240" w:lineRule="auto"/>
      </w:pPr>
      <w:r>
        <w:separator/>
      </w:r>
    </w:p>
  </w:footnote>
  <w:footnote w:type="continuationSeparator" w:id="0">
    <w:p w14:paraId="206A18F2" w14:textId="77777777" w:rsidR="002A4FA5" w:rsidRDefault="002A4FA5" w:rsidP="003E7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E146" w14:textId="1200CF1B" w:rsidR="00A45CE2" w:rsidRDefault="00A45CE2">
    <w:pPr>
      <w:pStyle w:val="Header"/>
    </w:pPr>
    <w:r>
      <w:rPr>
        <w:noProof/>
        <w:lang w:eastAsia="en-AU"/>
      </w:rPr>
      <w:drawing>
        <wp:anchor distT="0" distB="0" distL="114300" distR="114300" simplePos="0" relativeHeight="251658240" behindDoc="0" locked="0" layoutInCell="1" allowOverlap="1" wp14:anchorId="50770F36" wp14:editId="325160A2">
          <wp:simplePos x="0" y="0"/>
          <wp:positionH relativeFrom="column">
            <wp:posOffset>-1159510</wp:posOffset>
          </wp:positionH>
          <wp:positionV relativeFrom="paragraph">
            <wp:posOffset>-441325</wp:posOffset>
          </wp:positionV>
          <wp:extent cx="7585075" cy="1896110"/>
          <wp:effectExtent l="0" t="0" r="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CRC_MailPoetHeader_800x200px_Tagline_Dark.jpg"/>
                  <pic:cNvPicPr/>
                </pic:nvPicPr>
                <pic:blipFill>
                  <a:blip r:embed="rId1">
                    <a:extLst>
                      <a:ext uri="{28A0092B-C50C-407E-A947-70E740481C1C}">
                        <a14:useLocalDpi xmlns:a14="http://schemas.microsoft.com/office/drawing/2010/main" val="0"/>
                      </a:ext>
                    </a:extLst>
                  </a:blip>
                  <a:stretch>
                    <a:fillRect/>
                  </a:stretch>
                </pic:blipFill>
                <pic:spPr>
                  <a:xfrm>
                    <a:off x="0" y="0"/>
                    <a:ext cx="7585075" cy="1896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20EB"/>
    <w:multiLevelType w:val="multilevel"/>
    <w:tmpl w:val="1D4EA64A"/>
    <w:lvl w:ilvl="0">
      <w:start w:val="1"/>
      <w:numFmt w:val="none"/>
      <w:lvlText w:val=""/>
      <w:lvlJc w:val="left"/>
      <w:pPr>
        <w:ind w:left="0" w:firstLine="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297"/>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2B6D39CC"/>
    <w:multiLevelType w:val="hybridMultilevel"/>
    <w:tmpl w:val="1E643310"/>
    <w:lvl w:ilvl="0" w:tplc="6716462C">
      <w:start w:val="1"/>
      <w:numFmt w:val="bullet"/>
      <w:lvlText w:val=""/>
      <w:lvlJc w:val="left"/>
      <w:pPr>
        <w:ind w:left="720" w:hanging="360"/>
      </w:pPr>
      <w:rPr>
        <w:rFonts w:ascii="Symbol" w:hAnsi="Symbol" w:hint="default"/>
      </w:rPr>
    </w:lvl>
    <w:lvl w:ilvl="1" w:tplc="980CAD30">
      <w:start w:val="1"/>
      <w:numFmt w:val="bullet"/>
      <w:lvlText w:val="o"/>
      <w:lvlJc w:val="left"/>
      <w:pPr>
        <w:ind w:left="1440" w:hanging="360"/>
      </w:pPr>
      <w:rPr>
        <w:rFonts w:ascii="Courier New" w:hAnsi="Courier New" w:hint="default"/>
      </w:rPr>
    </w:lvl>
    <w:lvl w:ilvl="2" w:tplc="777AEA30">
      <w:start w:val="1"/>
      <w:numFmt w:val="bullet"/>
      <w:lvlText w:val=""/>
      <w:lvlJc w:val="left"/>
      <w:pPr>
        <w:ind w:left="2160" w:hanging="360"/>
      </w:pPr>
      <w:rPr>
        <w:rFonts w:ascii="Wingdings" w:hAnsi="Wingdings" w:hint="default"/>
      </w:rPr>
    </w:lvl>
    <w:lvl w:ilvl="3" w:tplc="D82249CE">
      <w:start w:val="1"/>
      <w:numFmt w:val="bullet"/>
      <w:lvlText w:val=""/>
      <w:lvlJc w:val="left"/>
      <w:pPr>
        <w:ind w:left="2880" w:hanging="360"/>
      </w:pPr>
      <w:rPr>
        <w:rFonts w:ascii="Symbol" w:hAnsi="Symbol" w:hint="default"/>
      </w:rPr>
    </w:lvl>
    <w:lvl w:ilvl="4" w:tplc="B446599C">
      <w:start w:val="1"/>
      <w:numFmt w:val="bullet"/>
      <w:lvlText w:val="o"/>
      <w:lvlJc w:val="left"/>
      <w:pPr>
        <w:ind w:left="3600" w:hanging="360"/>
      </w:pPr>
      <w:rPr>
        <w:rFonts w:ascii="Courier New" w:hAnsi="Courier New" w:hint="default"/>
      </w:rPr>
    </w:lvl>
    <w:lvl w:ilvl="5" w:tplc="4F340338">
      <w:start w:val="1"/>
      <w:numFmt w:val="bullet"/>
      <w:lvlText w:val=""/>
      <w:lvlJc w:val="left"/>
      <w:pPr>
        <w:ind w:left="4320" w:hanging="360"/>
      </w:pPr>
      <w:rPr>
        <w:rFonts w:ascii="Wingdings" w:hAnsi="Wingdings" w:hint="default"/>
      </w:rPr>
    </w:lvl>
    <w:lvl w:ilvl="6" w:tplc="CB621E5C">
      <w:start w:val="1"/>
      <w:numFmt w:val="bullet"/>
      <w:lvlText w:val=""/>
      <w:lvlJc w:val="left"/>
      <w:pPr>
        <w:ind w:left="5040" w:hanging="360"/>
      </w:pPr>
      <w:rPr>
        <w:rFonts w:ascii="Symbol" w:hAnsi="Symbol" w:hint="default"/>
      </w:rPr>
    </w:lvl>
    <w:lvl w:ilvl="7" w:tplc="11621A24">
      <w:start w:val="1"/>
      <w:numFmt w:val="bullet"/>
      <w:lvlText w:val="o"/>
      <w:lvlJc w:val="left"/>
      <w:pPr>
        <w:ind w:left="5760" w:hanging="360"/>
      </w:pPr>
      <w:rPr>
        <w:rFonts w:ascii="Courier New" w:hAnsi="Courier New" w:hint="default"/>
      </w:rPr>
    </w:lvl>
    <w:lvl w:ilvl="8" w:tplc="26B67B62">
      <w:start w:val="1"/>
      <w:numFmt w:val="bullet"/>
      <w:lvlText w:val=""/>
      <w:lvlJc w:val="left"/>
      <w:pPr>
        <w:ind w:left="6480" w:hanging="360"/>
      </w:pPr>
      <w:rPr>
        <w:rFonts w:ascii="Wingdings" w:hAnsi="Wingdings" w:hint="default"/>
      </w:rPr>
    </w:lvl>
  </w:abstractNum>
  <w:abstractNum w:abstractNumId="2" w15:restartNumberingAfterBreak="0">
    <w:nsid w:val="33423A3F"/>
    <w:multiLevelType w:val="multilevel"/>
    <w:tmpl w:val="69CC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6F75C5"/>
    <w:multiLevelType w:val="hybridMultilevel"/>
    <w:tmpl w:val="944CD1DC"/>
    <w:lvl w:ilvl="0" w:tplc="76F06542">
      <w:start w:val="1"/>
      <w:numFmt w:val="bullet"/>
      <w:lvlText w:val=""/>
      <w:lvlJc w:val="left"/>
      <w:pPr>
        <w:ind w:left="720" w:hanging="360"/>
      </w:pPr>
      <w:rPr>
        <w:rFonts w:ascii="Symbol" w:hAnsi="Symbol" w:hint="default"/>
      </w:rPr>
    </w:lvl>
    <w:lvl w:ilvl="1" w:tplc="0E8429D2">
      <w:start w:val="1"/>
      <w:numFmt w:val="bullet"/>
      <w:lvlText w:val="o"/>
      <w:lvlJc w:val="left"/>
      <w:pPr>
        <w:ind w:left="1440" w:hanging="360"/>
      </w:pPr>
      <w:rPr>
        <w:rFonts w:ascii="Courier New" w:hAnsi="Courier New" w:hint="default"/>
      </w:rPr>
    </w:lvl>
    <w:lvl w:ilvl="2" w:tplc="C99863CA">
      <w:start w:val="1"/>
      <w:numFmt w:val="bullet"/>
      <w:lvlText w:val=""/>
      <w:lvlJc w:val="left"/>
      <w:pPr>
        <w:ind w:left="2160" w:hanging="360"/>
      </w:pPr>
      <w:rPr>
        <w:rFonts w:ascii="Wingdings" w:hAnsi="Wingdings" w:hint="default"/>
      </w:rPr>
    </w:lvl>
    <w:lvl w:ilvl="3" w:tplc="9FB8F1CA">
      <w:start w:val="1"/>
      <w:numFmt w:val="bullet"/>
      <w:lvlText w:val=""/>
      <w:lvlJc w:val="left"/>
      <w:pPr>
        <w:ind w:left="2880" w:hanging="360"/>
      </w:pPr>
      <w:rPr>
        <w:rFonts w:ascii="Symbol" w:hAnsi="Symbol" w:hint="default"/>
      </w:rPr>
    </w:lvl>
    <w:lvl w:ilvl="4" w:tplc="89AAA556">
      <w:start w:val="1"/>
      <w:numFmt w:val="bullet"/>
      <w:lvlText w:val="o"/>
      <w:lvlJc w:val="left"/>
      <w:pPr>
        <w:ind w:left="3600" w:hanging="360"/>
      </w:pPr>
      <w:rPr>
        <w:rFonts w:ascii="Courier New" w:hAnsi="Courier New" w:hint="default"/>
      </w:rPr>
    </w:lvl>
    <w:lvl w:ilvl="5" w:tplc="48E4CE58">
      <w:start w:val="1"/>
      <w:numFmt w:val="bullet"/>
      <w:lvlText w:val=""/>
      <w:lvlJc w:val="left"/>
      <w:pPr>
        <w:ind w:left="4320" w:hanging="360"/>
      </w:pPr>
      <w:rPr>
        <w:rFonts w:ascii="Wingdings" w:hAnsi="Wingdings" w:hint="default"/>
      </w:rPr>
    </w:lvl>
    <w:lvl w:ilvl="6" w:tplc="7DE0769A">
      <w:start w:val="1"/>
      <w:numFmt w:val="bullet"/>
      <w:lvlText w:val=""/>
      <w:lvlJc w:val="left"/>
      <w:pPr>
        <w:ind w:left="5040" w:hanging="360"/>
      </w:pPr>
      <w:rPr>
        <w:rFonts w:ascii="Symbol" w:hAnsi="Symbol" w:hint="default"/>
      </w:rPr>
    </w:lvl>
    <w:lvl w:ilvl="7" w:tplc="69648624">
      <w:start w:val="1"/>
      <w:numFmt w:val="bullet"/>
      <w:lvlText w:val="o"/>
      <w:lvlJc w:val="left"/>
      <w:pPr>
        <w:ind w:left="5760" w:hanging="360"/>
      </w:pPr>
      <w:rPr>
        <w:rFonts w:ascii="Courier New" w:hAnsi="Courier New" w:hint="default"/>
      </w:rPr>
    </w:lvl>
    <w:lvl w:ilvl="8" w:tplc="92FE9B46">
      <w:start w:val="1"/>
      <w:numFmt w:val="bullet"/>
      <w:lvlText w:val=""/>
      <w:lvlJc w:val="left"/>
      <w:pPr>
        <w:ind w:left="6480" w:hanging="360"/>
      </w:pPr>
      <w:rPr>
        <w:rFonts w:ascii="Wingdings" w:hAnsi="Wingdings" w:hint="default"/>
      </w:rPr>
    </w:lvl>
  </w:abstractNum>
  <w:abstractNum w:abstractNumId="4" w15:restartNumberingAfterBreak="0">
    <w:nsid w:val="595852EF"/>
    <w:multiLevelType w:val="hybridMultilevel"/>
    <w:tmpl w:val="B0C4D246"/>
    <w:lvl w:ilvl="0" w:tplc="DB26E89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B014CC"/>
    <w:multiLevelType w:val="hybridMultilevel"/>
    <w:tmpl w:val="0F4AF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2D14AB"/>
    <w:multiLevelType w:val="hybridMultilevel"/>
    <w:tmpl w:val="3EFC9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D556C4B"/>
    <w:multiLevelType w:val="hybridMultilevel"/>
    <w:tmpl w:val="B45CD25E"/>
    <w:lvl w:ilvl="0" w:tplc="215E612A">
      <w:start w:val="1"/>
      <w:numFmt w:val="bullet"/>
      <w:lvlText w:val=""/>
      <w:lvlJc w:val="left"/>
      <w:pPr>
        <w:ind w:left="720" w:hanging="360"/>
      </w:pPr>
      <w:rPr>
        <w:rFonts w:ascii="Symbol" w:hAnsi="Symbol" w:hint="default"/>
      </w:rPr>
    </w:lvl>
    <w:lvl w:ilvl="1" w:tplc="16AE627E">
      <w:start w:val="1"/>
      <w:numFmt w:val="bullet"/>
      <w:lvlText w:val="o"/>
      <w:lvlJc w:val="left"/>
      <w:pPr>
        <w:ind w:left="1440" w:hanging="360"/>
      </w:pPr>
      <w:rPr>
        <w:rFonts w:ascii="Courier New" w:hAnsi="Courier New" w:hint="default"/>
      </w:rPr>
    </w:lvl>
    <w:lvl w:ilvl="2" w:tplc="11B819EE">
      <w:start w:val="1"/>
      <w:numFmt w:val="bullet"/>
      <w:lvlText w:val=""/>
      <w:lvlJc w:val="left"/>
      <w:pPr>
        <w:ind w:left="2160" w:hanging="360"/>
      </w:pPr>
      <w:rPr>
        <w:rFonts w:ascii="Wingdings" w:hAnsi="Wingdings" w:hint="default"/>
      </w:rPr>
    </w:lvl>
    <w:lvl w:ilvl="3" w:tplc="28CA5232">
      <w:start w:val="1"/>
      <w:numFmt w:val="bullet"/>
      <w:lvlText w:val=""/>
      <w:lvlJc w:val="left"/>
      <w:pPr>
        <w:ind w:left="2880" w:hanging="360"/>
      </w:pPr>
      <w:rPr>
        <w:rFonts w:ascii="Symbol" w:hAnsi="Symbol" w:hint="default"/>
      </w:rPr>
    </w:lvl>
    <w:lvl w:ilvl="4" w:tplc="AD82F584">
      <w:start w:val="1"/>
      <w:numFmt w:val="bullet"/>
      <w:lvlText w:val="o"/>
      <w:lvlJc w:val="left"/>
      <w:pPr>
        <w:ind w:left="3600" w:hanging="360"/>
      </w:pPr>
      <w:rPr>
        <w:rFonts w:ascii="Courier New" w:hAnsi="Courier New" w:hint="default"/>
      </w:rPr>
    </w:lvl>
    <w:lvl w:ilvl="5" w:tplc="4A74DAF8">
      <w:start w:val="1"/>
      <w:numFmt w:val="bullet"/>
      <w:lvlText w:val=""/>
      <w:lvlJc w:val="left"/>
      <w:pPr>
        <w:ind w:left="4320" w:hanging="360"/>
      </w:pPr>
      <w:rPr>
        <w:rFonts w:ascii="Wingdings" w:hAnsi="Wingdings" w:hint="default"/>
      </w:rPr>
    </w:lvl>
    <w:lvl w:ilvl="6" w:tplc="03DC9256">
      <w:start w:val="1"/>
      <w:numFmt w:val="bullet"/>
      <w:lvlText w:val=""/>
      <w:lvlJc w:val="left"/>
      <w:pPr>
        <w:ind w:left="5040" w:hanging="360"/>
      </w:pPr>
      <w:rPr>
        <w:rFonts w:ascii="Symbol" w:hAnsi="Symbol" w:hint="default"/>
      </w:rPr>
    </w:lvl>
    <w:lvl w:ilvl="7" w:tplc="95E84858">
      <w:start w:val="1"/>
      <w:numFmt w:val="bullet"/>
      <w:lvlText w:val="o"/>
      <w:lvlJc w:val="left"/>
      <w:pPr>
        <w:ind w:left="5760" w:hanging="360"/>
      </w:pPr>
      <w:rPr>
        <w:rFonts w:ascii="Courier New" w:hAnsi="Courier New" w:hint="default"/>
      </w:rPr>
    </w:lvl>
    <w:lvl w:ilvl="8" w:tplc="A6B04A24">
      <w:start w:val="1"/>
      <w:numFmt w:val="bullet"/>
      <w:lvlText w:val=""/>
      <w:lvlJc w:val="left"/>
      <w:pPr>
        <w:ind w:left="6480" w:hanging="360"/>
      </w:pPr>
      <w:rPr>
        <w:rFonts w:ascii="Wingdings" w:hAnsi="Wingdings" w:hint="default"/>
      </w:rPr>
    </w:lvl>
  </w:abstractNum>
  <w:num w:numId="1" w16cid:durableId="1726949915">
    <w:abstractNumId w:val="3"/>
  </w:num>
  <w:num w:numId="2" w16cid:durableId="2016032619">
    <w:abstractNumId w:val="1"/>
  </w:num>
  <w:num w:numId="3" w16cid:durableId="928469524">
    <w:abstractNumId w:val="7"/>
  </w:num>
  <w:num w:numId="4" w16cid:durableId="258872034">
    <w:abstractNumId w:val="2"/>
  </w:num>
  <w:num w:numId="5" w16cid:durableId="1202942576">
    <w:abstractNumId w:val="5"/>
  </w:num>
  <w:num w:numId="6" w16cid:durableId="2009675785">
    <w:abstractNumId w:val="4"/>
  </w:num>
  <w:num w:numId="7" w16cid:durableId="172500068">
    <w:abstractNumId w:val="0"/>
  </w:num>
  <w:num w:numId="8" w16cid:durableId="1917131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D4B"/>
    <w:rsid w:val="00226C70"/>
    <w:rsid w:val="0026432D"/>
    <w:rsid w:val="0027700E"/>
    <w:rsid w:val="002952C9"/>
    <w:rsid w:val="002A4FA5"/>
    <w:rsid w:val="00336CE3"/>
    <w:rsid w:val="003813A9"/>
    <w:rsid w:val="00394156"/>
    <w:rsid w:val="003E717D"/>
    <w:rsid w:val="005E4D0E"/>
    <w:rsid w:val="006060B2"/>
    <w:rsid w:val="006369B4"/>
    <w:rsid w:val="00664AD9"/>
    <w:rsid w:val="006707D6"/>
    <w:rsid w:val="00682B09"/>
    <w:rsid w:val="007078B9"/>
    <w:rsid w:val="00785710"/>
    <w:rsid w:val="00851C4E"/>
    <w:rsid w:val="00866278"/>
    <w:rsid w:val="009552AF"/>
    <w:rsid w:val="009D2B79"/>
    <w:rsid w:val="00A45CE2"/>
    <w:rsid w:val="00A6220E"/>
    <w:rsid w:val="00AC2710"/>
    <w:rsid w:val="00BF3F2E"/>
    <w:rsid w:val="00C23221"/>
    <w:rsid w:val="00C27F68"/>
    <w:rsid w:val="00CE00CC"/>
    <w:rsid w:val="00DF30B8"/>
    <w:rsid w:val="00E07042"/>
    <w:rsid w:val="00EC7D2E"/>
    <w:rsid w:val="00EF0896"/>
    <w:rsid w:val="00FE1D4B"/>
    <w:rsid w:val="03C3C6E3"/>
    <w:rsid w:val="04D6EFA0"/>
    <w:rsid w:val="05788BD5"/>
    <w:rsid w:val="05E0038B"/>
    <w:rsid w:val="08606BE7"/>
    <w:rsid w:val="0A199863"/>
    <w:rsid w:val="0AFB341E"/>
    <w:rsid w:val="0C98A95E"/>
    <w:rsid w:val="0CEC4B6E"/>
    <w:rsid w:val="0D04ED7F"/>
    <w:rsid w:val="0EC7AA6F"/>
    <w:rsid w:val="0ED42096"/>
    <w:rsid w:val="110DA704"/>
    <w:rsid w:val="11386BBB"/>
    <w:rsid w:val="11A69434"/>
    <w:rsid w:val="121F083A"/>
    <w:rsid w:val="125C03A4"/>
    <w:rsid w:val="12B12838"/>
    <w:rsid w:val="13F25F89"/>
    <w:rsid w:val="157E9907"/>
    <w:rsid w:val="16AB21F3"/>
    <w:rsid w:val="17640DD6"/>
    <w:rsid w:val="17B55727"/>
    <w:rsid w:val="194719FC"/>
    <w:rsid w:val="1B3A9949"/>
    <w:rsid w:val="1C3B124F"/>
    <w:rsid w:val="2071B78F"/>
    <w:rsid w:val="2188B9C3"/>
    <w:rsid w:val="22B07AF1"/>
    <w:rsid w:val="22B1AE5A"/>
    <w:rsid w:val="244C4B52"/>
    <w:rsid w:val="246890EE"/>
    <w:rsid w:val="24E6E25D"/>
    <w:rsid w:val="25AAAFBF"/>
    <w:rsid w:val="26C4E67C"/>
    <w:rsid w:val="27304A04"/>
    <w:rsid w:val="2783EC14"/>
    <w:rsid w:val="279BA331"/>
    <w:rsid w:val="27C6F3AB"/>
    <w:rsid w:val="29B15CBD"/>
    <w:rsid w:val="2B69E2EB"/>
    <w:rsid w:val="2D13D903"/>
    <w:rsid w:val="2EB3AA72"/>
    <w:rsid w:val="2FBB0594"/>
    <w:rsid w:val="303B9374"/>
    <w:rsid w:val="3132BBE0"/>
    <w:rsid w:val="317C6700"/>
    <w:rsid w:val="3184BDC5"/>
    <w:rsid w:val="3188077D"/>
    <w:rsid w:val="330CF5D3"/>
    <w:rsid w:val="357FE174"/>
    <w:rsid w:val="374F4BF9"/>
    <w:rsid w:val="392D811E"/>
    <w:rsid w:val="39832400"/>
    <w:rsid w:val="39C76890"/>
    <w:rsid w:val="3A818E4F"/>
    <w:rsid w:val="3B9B0807"/>
    <w:rsid w:val="3D674BF4"/>
    <w:rsid w:val="3DD0E87A"/>
    <w:rsid w:val="3DF8168B"/>
    <w:rsid w:val="3E6A3872"/>
    <w:rsid w:val="405A1AAA"/>
    <w:rsid w:val="43B75D1B"/>
    <w:rsid w:val="44305EB7"/>
    <w:rsid w:val="44BABBD4"/>
    <w:rsid w:val="46C6CB96"/>
    <w:rsid w:val="47E2C0D0"/>
    <w:rsid w:val="483DDBEC"/>
    <w:rsid w:val="486A1943"/>
    <w:rsid w:val="488C94A6"/>
    <w:rsid w:val="4934BE3E"/>
    <w:rsid w:val="4BE0B114"/>
    <w:rsid w:val="4DA94391"/>
    <w:rsid w:val="4ED11976"/>
    <w:rsid w:val="4F0AEFED"/>
    <w:rsid w:val="50F29594"/>
    <w:rsid w:val="522DD134"/>
    <w:rsid w:val="53D9117E"/>
    <w:rsid w:val="555EA866"/>
    <w:rsid w:val="569A4598"/>
    <w:rsid w:val="57C7F4A2"/>
    <w:rsid w:val="5B5F47AE"/>
    <w:rsid w:val="5F105027"/>
    <w:rsid w:val="6067BEDF"/>
    <w:rsid w:val="6101E461"/>
    <w:rsid w:val="6226C46D"/>
    <w:rsid w:val="62369977"/>
    <w:rsid w:val="62AC4E99"/>
    <w:rsid w:val="63AF0FB2"/>
    <w:rsid w:val="6C65F217"/>
    <w:rsid w:val="6C7A2F94"/>
    <w:rsid w:val="6D7FCD08"/>
    <w:rsid w:val="6DC8EE1B"/>
    <w:rsid w:val="6FA60EBE"/>
    <w:rsid w:val="6FB53D62"/>
    <w:rsid w:val="72E0C5F8"/>
    <w:rsid w:val="734987F5"/>
    <w:rsid w:val="7369E451"/>
    <w:rsid w:val="74743BBB"/>
    <w:rsid w:val="764B879A"/>
    <w:rsid w:val="787CB267"/>
    <w:rsid w:val="7D1A00CE"/>
    <w:rsid w:val="7E9D71C4"/>
    <w:rsid w:val="7ECB56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F27716"/>
  <w15:chartTrackingRefBased/>
  <w15:docId w15:val="{F56FFE01-638E-4FC3-A6E3-B4CA5114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nhideWhenUsed/>
    <w:qFormat/>
    <w:rsid w:val="007078B9"/>
    <w:pPr>
      <w:keepNext/>
      <w:keepLines/>
      <w:numPr>
        <w:ilvl w:val="1"/>
        <w:numId w:val="7"/>
      </w:numPr>
      <w:spacing w:before="120" w:after="120" w:line="240" w:lineRule="auto"/>
      <w:outlineLvl w:val="1"/>
    </w:pPr>
    <w:rPr>
      <w:rFonts w:ascii="Arial" w:eastAsiaTheme="majorEastAsia" w:hAnsi="Arial" w:cs="Times New Roman (Headings CS)"/>
      <w:b/>
      <w:caps/>
      <w:color w:val="002060"/>
      <w:sz w:val="24"/>
      <w:szCs w:val="26"/>
    </w:rPr>
  </w:style>
  <w:style w:type="paragraph" w:styleId="Heading3">
    <w:name w:val="heading 3"/>
    <w:basedOn w:val="Normal"/>
    <w:next w:val="Normal"/>
    <w:link w:val="Heading3Char"/>
    <w:uiPriority w:val="9"/>
    <w:unhideWhenUsed/>
    <w:qFormat/>
    <w:rsid w:val="007078B9"/>
    <w:pPr>
      <w:keepNext/>
      <w:keepLines/>
      <w:numPr>
        <w:ilvl w:val="2"/>
        <w:numId w:val="7"/>
      </w:numPr>
      <w:spacing w:before="120" w:after="120" w:line="276" w:lineRule="auto"/>
      <w:outlineLvl w:val="2"/>
    </w:pPr>
    <w:rPr>
      <w:rFonts w:ascii="Arial" w:eastAsiaTheme="majorEastAsia" w:hAnsi="Arial" w:cs="Arial"/>
      <w:b/>
      <w:color w:val="002060"/>
      <w:sz w:val="24"/>
      <w:szCs w:val="24"/>
    </w:rPr>
  </w:style>
  <w:style w:type="paragraph" w:styleId="Heading4">
    <w:name w:val="heading 4"/>
    <w:basedOn w:val="Normal"/>
    <w:next w:val="Normal"/>
    <w:link w:val="Heading4Char"/>
    <w:uiPriority w:val="9"/>
    <w:unhideWhenUsed/>
    <w:qFormat/>
    <w:rsid w:val="007078B9"/>
    <w:pPr>
      <w:keepNext/>
      <w:keepLines/>
      <w:numPr>
        <w:ilvl w:val="3"/>
        <w:numId w:val="7"/>
      </w:numPr>
      <w:spacing w:before="120" w:after="120" w:line="276" w:lineRule="auto"/>
      <w:outlineLvl w:val="3"/>
    </w:pPr>
    <w:rPr>
      <w:rFonts w:ascii="Arial" w:eastAsiaTheme="majorEastAsia" w:hAnsi="Arial" w:cs="Arial"/>
      <w:b/>
      <w:iCs/>
      <w:color w:val="002060"/>
      <w:szCs w:val="24"/>
    </w:rPr>
  </w:style>
  <w:style w:type="paragraph" w:styleId="Heading5">
    <w:name w:val="heading 5"/>
    <w:basedOn w:val="Normal"/>
    <w:next w:val="Normal"/>
    <w:link w:val="Heading5Char"/>
    <w:uiPriority w:val="9"/>
    <w:unhideWhenUsed/>
    <w:qFormat/>
    <w:rsid w:val="007078B9"/>
    <w:pPr>
      <w:keepNext/>
      <w:keepLines/>
      <w:numPr>
        <w:ilvl w:val="4"/>
        <w:numId w:val="7"/>
      </w:numPr>
      <w:spacing w:before="40" w:after="0" w:line="276" w:lineRule="auto"/>
      <w:outlineLvl w:val="4"/>
    </w:pPr>
    <w:rPr>
      <w:rFonts w:asciiTheme="majorHAnsi" w:eastAsiaTheme="majorEastAsia" w:hAnsiTheme="majorHAnsi" w:cstheme="majorBidi"/>
      <w:color w:val="2E74B5" w:themeColor="accent1" w:themeShade="BF"/>
      <w:sz w:val="18"/>
      <w:szCs w:val="24"/>
    </w:rPr>
  </w:style>
  <w:style w:type="paragraph" w:styleId="Heading6">
    <w:name w:val="heading 6"/>
    <w:basedOn w:val="Normal"/>
    <w:next w:val="Normal"/>
    <w:link w:val="Heading6Char"/>
    <w:uiPriority w:val="9"/>
    <w:semiHidden/>
    <w:unhideWhenUsed/>
    <w:qFormat/>
    <w:rsid w:val="007078B9"/>
    <w:pPr>
      <w:keepNext/>
      <w:keepLines/>
      <w:numPr>
        <w:ilvl w:val="5"/>
        <w:numId w:val="7"/>
      </w:numPr>
      <w:spacing w:before="40" w:after="0" w:line="276" w:lineRule="auto"/>
      <w:outlineLvl w:val="5"/>
    </w:pPr>
    <w:rPr>
      <w:rFonts w:asciiTheme="majorHAnsi" w:eastAsiaTheme="majorEastAsia" w:hAnsiTheme="majorHAnsi" w:cstheme="majorBidi"/>
      <w:color w:val="1F4D78" w:themeColor="accent1" w:themeShade="7F"/>
      <w:sz w:val="18"/>
      <w:szCs w:val="24"/>
    </w:rPr>
  </w:style>
  <w:style w:type="paragraph" w:styleId="Heading7">
    <w:name w:val="heading 7"/>
    <w:basedOn w:val="Normal"/>
    <w:next w:val="Normal"/>
    <w:link w:val="Heading7Char"/>
    <w:uiPriority w:val="9"/>
    <w:semiHidden/>
    <w:unhideWhenUsed/>
    <w:qFormat/>
    <w:rsid w:val="007078B9"/>
    <w:pPr>
      <w:keepNext/>
      <w:keepLines/>
      <w:numPr>
        <w:ilvl w:val="6"/>
        <w:numId w:val="7"/>
      </w:numPr>
      <w:spacing w:before="40" w:after="0" w:line="276" w:lineRule="auto"/>
      <w:outlineLvl w:val="6"/>
    </w:pPr>
    <w:rPr>
      <w:rFonts w:asciiTheme="majorHAnsi" w:eastAsiaTheme="majorEastAsia" w:hAnsiTheme="majorHAnsi" w:cstheme="majorBidi"/>
      <w:i/>
      <w:iCs/>
      <w:color w:val="1F4D78" w:themeColor="accent1" w:themeShade="7F"/>
      <w:sz w:val="18"/>
      <w:szCs w:val="24"/>
    </w:rPr>
  </w:style>
  <w:style w:type="paragraph" w:styleId="Heading8">
    <w:name w:val="heading 8"/>
    <w:basedOn w:val="Normal"/>
    <w:next w:val="Normal"/>
    <w:link w:val="Heading8Char"/>
    <w:uiPriority w:val="9"/>
    <w:semiHidden/>
    <w:unhideWhenUsed/>
    <w:qFormat/>
    <w:rsid w:val="007078B9"/>
    <w:pPr>
      <w:keepNext/>
      <w:keepLines/>
      <w:numPr>
        <w:ilvl w:val="7"/>
        <w:numId w:val="7"/>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78B9"/>
    <w:pPr>
      <w:keepNext/>
      <w:keepLines/>
      <w:numPr>
        <w:ilvl w:val="8"/>
        <w:numId w:val="7"/>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0B8"/>
    <w:rPr>
      <w:color w:val="0000FF"/>
      <w:u w:val="single"/>
    </w:rPr>
  </w:style>
  <w:style w:type="character" w:styleId="Strong">
    <w:name w:val="Strong"/>
    <w:basedOn w:val="DefaultParagraphFont"/>
    <w:uiPriority w:val="22"/>
    <w:qFormat/>
    <w:rsid w:val="009D2B79"/>
    <w:rPr>
      <w:b/>
      <w:bCs/>
    </w:rPr>
  </w:style>
  <w:style w:type="paragraph" w:styleId="ListParagraph">
    <w:name w:val="List Paragraph"/>
    <w:basedOn w:val="Normal"/>
    <w:uiPriority w:val="34"/>
    <w:qFormat/>
    <w:rsid w:val="00226C70"/>
    <w:pPr>
      <w:ind w:left="720"/>
      <w:contextualSpacing/>
    </w:pPr>
  </w:style>
  <w:style w:type="paragraph" w:styleId="Header">
    <w:name w:val="header"/>
    <w:basedOn w:val="Normal"/>
    <w:link w:val="HeaderChar"/>
    <w:uiPriority w:val="99"/>
    <w:unhideWhenUsed/>
    <w:rsid w:val="003E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17D"/>
  </w:style>
  <w:style w:type="paragraph" w:styleId="Footer">
    <w:name w:val="footer"/>
    <w:basedOn w:val="Normal"/>
    <w:link w:val="FooterChar"/>
    <w:uiPriority w:val="99"/>
    <w:unhideWhenUsed/>
    <w:rsid w:val="003E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17D"/>
  </w:style>
  <w:style w:type="character" w:customStyle="1" w:styleId="Heading2Char">
    <w:name w:val="Heading 2 Char"/>
    <w:basedOn w:val="DefaultParagraphFont"/>
    <w:link w:val="Heading2"/>
    <w:rsid w:val="007078B9"/>
    <w:rPr>
      <w:rFonts w:ascii="Arial" w:eastAsiaTheme="majorEastAsia" w:hAnsi="Arial" w:cs="Times New Roman (Headings CS)"/>
      <w:b/>
      <w:caps/>
      <w:color w:val="002060"/>
      <w:sz w:val="24"/>
      <w:szCs w:val="26"/>
    </w:rPr>
  </w:style>
  <w:style w:type="character" w:customStyle="1" w:styleId="Heading3Char">
    <w:name w:val="Heading 3 Char"/>
    <w:basedOn w:val="DefaultParagraphFont"/>
    <w:link w:val="Heading3"/>
    <w:uiPriority w:val="9"/>
    <w:rsid w:val="007078B9"/>
    <w:rPr>
      <w:rFonts w:ascii="Arial" w:eastAsiaTheme="majorEastAsia" w:hAnsi="Arial" w:cs="Arial"/>
      <w:b/>
      <w:color w:val="002060"/>
      <w:sz w:val="24"/>
      <w:szCs w:val="24"/>
    </w:rPr>
  </w:style>
  <w:style w:type="character" w:customStyle="1" w:styleId="Heading4Char">
    <w:name w:val="Heading 4 Char"/>
    <w:basedOn w:val="DefaultParagraphFont"/>
    <w:link w:val="Heading4"/>
    <w:uiPriority w:val="9"/>
    <w:rsid w:val="007078B9"/>
    <w:rPr>
      <w:rFonts w:ascii="Arial" w:eastAsiaTheme="majorEastAsia" w:hAnsi="Arial" w:cs="Arial"/>
      <w:b/>
      <w:iCs/>
      <w:color w:val="002060"/>
      <w:szCs w:val="24"/>
    </w:rPr>
  </w:style>
  <w:style w:type="character" w:customStyle="1" w:styleId="Heading5Char">
    <w:name w:val="Heading 5 Char"/>
    <w:basedOn w:val="DefaultParagraphFont"/>
    <w:link w:val="Heading5"/>
    <w:uiPriority w:val="9"/>
    <w:rsid w:val="007078B9"/>
    <w:rPr>
      <w:rFonts w:asciiTheme="majorHAnsi" w:eastAsiaTheme="majorEastAsia" w:hAnsiTheme="majorHAnsi" w:cstheme="majorBidi"/>
      <w:color w:val="2E74B5" w:themeColor="accent1" w:themeShade="BF"/>
      <w:sz w:val="18"/>
      <w:szCs w:val="24"/>
    </w:rPr>
  </w:style>
  <w:style w:type="character" w:customStyle="1" w:styleId="Heading6Char">
    <w:name w:val="Heading 6 Char"/>
    <w:basedOn w:val="DefaultParagraphFont"/>
    <w:link w:val="Heading6"/>
    <w:uiPriority w:val="9"/>
    <w:semiHidden/>
    <w:rsid w:val="007078B9"/>
    <w:rPr>
      <w:rFonts w:asciiTheme="majorHAnsi" w:eastAsiaTheme="majorEastAsia" w:hAnsiTheme="majorHAnsi" w:cstheme="majorBidi"/>
      <w:color w:val="1F4D78" w:themeColor="accent1" w:themeShade="7F"/>
      <w:sz w:val="18"/>
      <w:szCs w:val="24"/>
    </w:rPr>
  </w:style>
  <w:style w:type="character" w:customStyle="1" w:styleId="Heading7Char">
    <w:name w:val="Heading 7 Char"/>
    <w:basedOn w:val="DefaultParagraphFont"/>
    <w:link w:val="Heading7"/>
    <w:uiPriority w:val="9"/>
    <w:semiHidden/>
    <w:rsid w:val="007078B9"/>
    <w:rPr>
      <w:rFonts w:asciiTheme="majorHAnsi" w:eastAsiaTheme="majorEastAsia" w:hAnsiTheme="majorHAnsi" w:cstheme="majorBidi"/>
      <w:i/>
      <w:iCs/>
      <w:color w:val="1F4D78" w:themeColor="accent1" w:themeShade="7F"/>
      <w:sz w:val="18"/>
      <w:szCs w:val="24"/>
    </w:rPr>
  </w:style>
  <w:style w:type="character" w:customStyle="1" w:styleId="Heading8Char">
    <w:name w:val="Heading 8 Char"/>
    <w:basedOn w:val="DefaultParagraphFont"/>
    <w:link w:val="Heading8"/>
    <w:uiPriority w:val="9"/>
    <w:semiHidden/>
    <w:rsid w:val="007078B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78B9"/>
    <w:rPr>
      <w:rFonts w:asciiTheme="majorHAnsi" w:eastAsiaTheme="majorEastAsia" w:hAnsiTheme="majorHAnsi" w:cstheme="majorBidi"/>
      <w:i/>
      <w:iCs/>
      <w:color w:val="272727" w:themeColor="text1" w:themeTint="D8"/>
      <w:sz w:val="21"/>
      <w:szCs w:val="21"/>
    </w:rPr>
  </w:style>
  <w:style w:type="paragraph" w:customStyle="1" w:styleId="Reversetext">
    <w:name w:val="Reverse text"/>
    <w:basedOn w:val="Normal"/>
    <w:qFormat/>
    <w:rsid w:val="006369B4"/>
    <w:pPr>
      <w:spacing w:after="0" w:line="360" w:lineRule="auto"/>
    </w:pPr>
    <w:rPr>
      <w:rFonts w:ascii="Arial" w:eastAsia="SimSun" w:hAnsi="Arial"/>
      <w:color w:val="FFFFFF" w:themeColor="background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826245">
      <w:bodyDiv w:val="1"/>
      <w:marLeft w:val="0"/>
      <w:marRight w:val="0"/>
      <w:marTop w:val="0"/>
      <w:marBottom w:val="0"/>
      <w:divBdr>
        <w:top w:val="none" w:sz="0" w:space="0" w:color="auto"/>
        <w:left w:val="none" w:sz="0" w:space="0" w:color="auto"/>
        <w:bottom w:val="none" w:sz="0" w:space="0" w:color="auto"/>
        <w:right w:val="none" w:sz="0" w:space="0" w:color="auto"/>
      </w:divBdr>
      <w:divsChild>
        <w:div w:id="1449813839">
          <w:marLeft w:val="-225"/>
          <w:marRight w:val="-225"/>
          <w:marTop w:val="0"/>
          <w:marBottom w:val="0"/>
          <w:divBdr>
            <w:top w:val="none" w:sz="0" w:space="0" w:color="auto"/>
            <w:left w:val="none" w:sz="0" w:space="0" w:color="auto"/>
            <w:bottom w:val="none" w:sz="0" w:space="0" w:color="auto"/>
            <w:right w:val="none" w:sz="0" w:space="0" w:color="auto"/>
          </w:divBdr>
          <w:divsChild>
            <w:div w:id="297802105">
              <w:marLeft w:val="0"/>
              <w:marRight w:val="0"/>
              <w:marTop w:val="0"/>
              <w:marBottom w:val="0"/>
              <w:divBdr>
                <w:top w:val="none" w:sz="0" w:space="0" w:color="auto"/>
                <w:left w:val="none" w:sz="0" w:space="0" w:color="auto"/>
                <w:bottom w:val="none" w:sz="0" w:space="0" w:color="auto"/>
                <w:right w:val="none" w:sz="0" w:space="0" w:color="auto"/>
              </w:divBdr>
              <w:divsChild>
                <w:div w:id="133067181">
                  <w:marLeft w:val="0"/>
                  <w:marRight w:val="0"/>
                  <w:marTop w:val="0"/>
                  <w:marBottom w:val="0"/>
                  <w:divBdr>
                    <w:top w:val="none" w:sz="0" w:space="0" w:color="auto"/>
                    <w:left w:val="none" w:sz="0" w:space="0" w:color="auto"/>
                    <w:bottom w:val="none" w:sz="0" w:space="0" w:color="auto"/>
                    <w:right w:val="none" w:sz="0" w:space="0" w:color="auto"/>
                  </w:divBdr>
                  <w:divsChild>
                    <w:div w:id="1914926509">
                      <w:marLeft w:val="0"/>
                      <w:marRight w:val="0"/>
                      <w:marTop w:val="0"/>
                      <w:marBottom w:val="0"/>
                      <w:divBdr>
                        <w:top w:val="none" w:sz="0" w:space="0" w:color="auto"/>
                        <w:left w:val="none" w:sz="0" w:space="0" w:color="auto"/>
                        <w:bottom w:val="none" w:sz="0" w:space="0" w:color="auto"/>
                        <w:right w:val="none" w:sz="0" w:space="0" w:color="auto"/>
                      </w:divBdr>
                      <w:divsChild>
                        <w:div w:id="1217669356">
                          <w:marLeft w:val="0"/>
                          <w:marRight w:val="0"/>
                          <w:marTop w:val="0"/>
                          <w:marBottom w:val="0"/>
                          <w:divBdr>
                            <w:top w:val="none" w:sz="0" w:space="0" w:color="auto"/>
                            <w:left w:val="none" w:sz="0" w:space="0" w:color="auto"/>
                            <w:bottom w:val="none" w:sz="0" w:space="0" w:color="auto"/>
                            <w:right w:val="none" w:sz="0" w:space="0" w:color="auto"/>
                          </w:divBdr>
                          <w:divsChild>
                            <w:div w:id="1519660757">
                              <w:marLeft w:val="0"/>
                              <w:marRight w:val="0"/>
                              <w:marTop w:val="0"/>
                              <w:marBottom w:val="0"/>
                              <w:divBdr>
                                <w:top w:val="none" w:sz="0" w:space="0" w:color="auto"/>
                                <w:left w:val="none" w:sz="0" w:space="0" w:color="auto"/>
                                <w:bottom w:val="none" w:sz="0" w:space="0" w:color="auto"/>
                                <w:right w:val="none" w:sz="0" w:space="0" w:color="auto"/>
                              </w:divBdr>
                              <w:divsChild>
                                <w:div w:id="5434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790906">
          <w:marLeft w:val="-225"/>
          <w:marRight w:val="-225"/>
          <w:marTop w:val="0"/>
          <w:marBottom w:val="0"/>
          <w:divBdr>
            <w:top w:val="none" w:sz="0" w:space="0" w:color="auto"/>
            <w:left w:val="none" w:sz="0" w:space="0" w:color="auto"/>
            <w:bottom w:val="none" w:sz="0" w:space="0" w:color="auto"/>
            <w:right w:val="none" w:sz="0" w:space="0" w:color="auto"/>
          </w:divBdr>
          <w:divsChild>
            <w:div w:id="1536232497">
              <w:marLeft w:val="0"/>
              <w:marRight w:val="0"/>
              <w:marTop w:val="0"/>
              <w:marBottom w:val="0"/>
              <w:divBdr>
                <w:top w:val="none" w:sz="0" w:space="0" w:color="auto"/>
                <w:left w:val="none" w:sz="0" w:space="0" w:color="auto"/>
                <w:bottom w:val="none" w:sz="0" w:space="0" w:color="auto"/>
                <w:right w:val="none" w:sz="0" w:space="0" w:color="auto"/>
              </w:divBdr>
              <w:divsChild>
                <w:div w:id="1791895791">
                  <w:marLeft w:val="0"/>
                  <w:marRight w:val="0"/>
                  <w:marTop w:val="0"/>
                  <w:marBottom w:val="0"/>
                  <w:divBdr>
                    <w:top w:val="none" w:sz="0" w:space="0" w:color="auto"/>
                    <w:left w:val="none" w:sz="0" w:space="0" w:color="auto"/>
                    <w:bottom w:val="none" w:sz="0" w:space="0" w:color="auto"/>
                    <w:right w:val="none" w:sz="0" w:space="0" w:color="auto"/>
                  </w:divBdr>
                  <w:divsChild>
                    <w:div w:id="309555104">
                      <w:marLeft w:val="0"/>
                      <w:marRight w:val="0"/>
                      <w:marTop w:val="0"/>
                      <w:marBottom w:val="0"/>
                      <w:divBdr>
                        <w:top w:val="none" w:sz="0" w:space="0" w:color="auto"/>
                        <w:left w:val="none" w:sz="0" w:space="0" w:color="auto"/>
                        <w:bottom w:val="none" w:sz="0" w:space="0" w:color="auto"/>
                        <w:right w:val="none" w:sz="0" w:space="0" w:color="auto"/>
                      </w:divBdr>
                      <w:divsChild>
                        <w:div w:id="1369065594">
                          <w:marLeft w:val="0"/>
                          <w:marRight w:val="0"/>
                          <w:marTop w:val="0"/>
                          <w:marBottom w:val="0"/>
                          <w:divBdr>
                            <w:top w:val="none" w:sz="0" w:space="0" w:color="auto"/>
                            <w:left w:val="none" w:sz="0" w:space="0" w:color="auto"/>
                            <w:bottom w:val="none" w:sz="0" w:space="0" w:color="auto"/>
                            <w:right w:val="none" w:sz="0" w:space="0" w:color="auto"/>
                          </w:divBdr>
                          <w:divsChild>
                            <w:div w:id="188833524">
                              <w:marLeft w:val="0"/>
                              <w:marRight w:val="0"/>
                              <w:marTop w:val="0"/>
                              <w:marBottom w:val="0"/>
                              <w:divBdr>
                                <w:top w:val="none" w:sz="0" w:space="0" w:color="auto"/>
                                <w:left w:val="none" w:sz="0" w:space="0" w:color="auto"/>
                                <w:bottom w:val="none" w:sz="0" w:space="0" w:color="auto"/>
                                <w:right w:val="none" w:sz="0" w:space="0" w:color="auto"/>
                              </w:divBdr>
                              <w:divsChild>
                                <w:div w:id="17791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CA60712C624D47AFA24E0E2B071E39" ma:contentTypeVersion="11" ma:contentTypeDescription="Create a new document." ma:contentTypeScope="" ma:versionID="6ac4aa2e7b66d13f93f1bf6b935448b2">
  <xsd:schema xmlns:xsd="http://www.w3.org/2001/XMLSchema" xmlns:xs="http://www.w3.org/2001/XMLSchema" xmlns:p="http://schemas.microsoft.com/office/2006/metadata/properties" xmlns:ns2="4bd2851d-78fa-4755-bea0-e81e8d2e92e1" xmlns:ns3="c4363bc9-e002-4f81-a5e1-8f41fba3c29f" xmlns:ns4="ebd36939-a862-4257-99b8-ac208403cbb1" xmlns:ns5="e9215c2e-cb2f-4dc7-87d2-156f8392f66c" targetNamespace="http://schemas.microsoft.com/office/2006/metadata/properties" ma:root="true" ma:fieldsID="96a21eee44906f7c246ea90439bfd290" ns2:_="" ns3:_="" ns4:_="" ns5:_="">
    <xsd:import namespace="4bd2851d-78fa-4755-bea0-e81e8d2e92e1"/>
    <xsd:import namespace="c4363bc9-e002-4f81-a5e1-8f41fba3c29f"/>
    <xsd:import namespace="ebd36939-a862-4257-99b8-ac208403cbb1"/>
    <xsd:import namespace="e9215c2e-cb2f-4dc7-87d2-156f8392f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2851d-78fa-4755-bea0-e81e8d2e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63bc9-e002-4f81-a5e1-8f41fba3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36939-a862-4257-99b8-ac208403cbb1"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7b88db-b703-4d04-81b7-e61a8f0436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15c2e-cb2f-4dc7-87d2-156f8392f66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b0905a60-8366-4cb6-ab24-12e3f364fff6}" ma:internalName="TaxCatchAll" ma:showField="CatchAllData" ma:web="e9215c2e-cb2f-4dc7-87d2-156f8392f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4363bc9-e002-4f81-a5e1-8f41fba3c29f">
      <UserInfo>
        <DisplayName/>
        <AccountId xsi:nil="true"/>
        <AccountType/>
      </UserInfo>
    </SharedWithUsers>
    <MediaLengthInSeconds xmlns="4bd2851d-78fa-4755-bea0-e81e8d2e92e1" xsi:nil="true"/>
    <TaxCatchAll xmlns="e9215c2e-cb2f-4dc7-87d2-156f8392f66c" xsi:nil="true"/>
    <lcf76f155ced4ddcb4097134ff3c332f xmlns="ebd36939-a862-4257-99b8-ac208403cb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EED1FA-E3D4-4A8E-B5CC-6DD9BCC17F2B}"/>
</file>

<file path=customXml/itemProps2.xml><?xml version="1.0" encoding="utf-8"?>
<ds:datastoreItem xmlns:ds="http://schemas.openxmlformats.org/officeDocument/2006/customXml" ds:itemID="{9859BF35-2E8F-432C-AFAB-44B4879EFAFB}"/>
</file>

<file path=customXml/itemProps3.xml><?xml version="1.0" encoding="utf-8"?>
<ds:datastoreItem xmlns:ds="http://schemas.openxmlformats.org/officeDocument/2006/customXml" ds:itemID="{1CE5857B-8E86-41CE-9FC4-C8E9214E0C86}"/>
</file>

<file path=docProps/app.xml><?xml version="1.0" encoding="utf-8"?>
<Properties xmlns="http://schemas.openxmlformats.org/officeDocument/2006/extended-properties" xmlns:vt="http://schemas.openxmlformats.org/officeDocument/2006/docPropsVTypes">
  <Template>Normal</Template>
  <TotalTime>57</TotalTime>
  <Pages>2</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Whittaker</dc:creator>
  <cp:keywords/>
  <dc:description/>
  <cp:lastModifiedBy>Neil Smith (Chemical Engineering)</cp:lastModifiedBy>
  <cp:revision>6</cp:revision>
  <dcterms:created xsi:type="dcterms:W3CDTF">2025-02-27T01:47:00Z</dcterms:created>
  <dcterms:modified xsi:type="dcterms:W3CDTF">2025-02-27T03:04:00Z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0x010100E6CA60712C624D47AFA24E0E2B071E39</vt:lpwstr>
  </property>
  <property fmtid="{D5CDD505-2E9C-101B-9397-08002B2CF9AE}" pid="3" name="GUID">
    <vt:lpwstr>15e5ac29-d5a8-4aa1-97de-a17f3c2b67bb</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TaxCatchAll">
    <vt:lpwstr/>
  </property>
  <property fmtid="{D5CDD505-2E9C-101B-9397-08002B2CF9AE}" pid="8" name="lcf76f155ced4ddcb4097134ff3c332f">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MediaServiceImageTags">
    <vt:lpwstr/>
  </property>
</Properties>
</file>