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9A460" w14:textId="37F304AB" w:rsidR="44305EB7" w:rsidRDefault="47E2C0D0" w:rsidP="03C3C6E3">
      <w:pPr>
        <w:spacing w:after="225" w:line="240" w:lineRule="auto"/>
        <w:jc w:val="center"/>
      </w:pPr>
      <w:r>
        <w:rPr>
          <w:noProof/>
          <w:lang w:eastAsia="en-AU"/>
        </w:rPr>
        <w:drawing>
          <wp:inline distT="0" distB="0" distL="0" distR="0" wp14:anchorId="2D2377E1" wp14:editId="312C94C2">
            <wp:extent cx="3409950" cy="1378188"/>
            <wp:effectExtent l="0" t="0" r="0" b="0"/>
            <wp:docPr id="2133995952" name="Picture 213399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09950" cy="1378188"/>
                    </a:xfrm>
                    <a:prstGeom prst="rect">
                      <a:avLst/>
                    </a:prstGeom>
                  </pic:spPr>
                </pic:pic>
              </a:graphicData>
            </a:graphic>
          </wp:inline>
        </w:drawing>
      </w:r>
    </w:p>
    <w:p w14:paraId="7F6CEE0B" w14:textId="2792EB55" w:rsidR="00C23221" w:rsidRPr="00226C70" w:rsidRDefault="002B1B52" w:rsidP="002B1B52">
      <w:pPr>
        <w:shd w:val="clear" w:color="auto" w:fill="FFFFFF"/>
        <w:spacing w:after="225" w:line="240" w:lineRule="auto"/>
        <w:jc w:val="center"/>
        <w:outlineLvl w:val="2"/>
        <w:rPr>
          <w:rFonts w:ascii="Arial" w:eastAsia="Times New Roman" w:hAnsi="Arial" w:cs="Arial"/>
          <w:b/>
          <w:bCs/>
          <w:color w:val="1C4590"/>
          <w:sz w:val="24"/>
          <w:szCs w:val="24"/>
          <w:lang w:eastAsia="en-AU"/>
        </w:rPr>
      </w:pPr>
      <w:r>
        <w:rPr>
          <w:rFonts w:ascii="Arial" w:eastAsia="Times New Roman" w:hAnsi="Arial" w:cs="Arial"/>
          <w:b/>
          <w:bCs/>
          <w:color w:val="1C4590"/>
          <w:sz w:val="24"/>
          <w:szCs w:val="24"/>
          <w:lang w:eastAsia="en-AU"/>
        </w:rPr>
        <w:t>RP2.3-03: Establishing a Case-Based Learning Framework for Pipeline Engineers</w:t>
      </w:r>
    </w:p>
    <w:p w14:paraId="4C828EF1" w14:textId="4705CDE8" w:rsidR="002B1B52" w:rsidRPr="0099002B" w:rsidRDefault="002B1B52" w:rsidP="1C3B124F">
      <w:pPr>
        <w:rPr>
          <w:rFonts w:ascii="Arial" w:hAnsi="Arial" w:cs="Arial"/>
          <w:color w:val="404040" w:themeColor="text1" w:themeTint="BF"/>
          <w:sz w:val="18"/>
          <w:szCs w:val="18"/>
        </w:rPr>
      </w:pPr>
      <w:r w:rsidRPr="0099002B">
        <w:rPr>
          <w:rStyle w:val="Strong"/>
          <w:rFonts w:ascii="Arial" w:eastAsia="Arial" w:hAnsi="Arial" w:cs="Arial"/>
          <w:color w:val="404040" w:themeColor="text1" w:themeTint="BF"/>
          <w:sz w:val="18"/>
          <w:szCs w:val="18"/>
        </w:rPr>
        <w:t>RP2.3-03</w:t>
      </w:r>
      <w:r w:rsidRPr="0099002B">
        <w:rPr>
          <w:rStyle w:val="Strong"/>
          <w:rFonts w:ascii="Arial" w:eastAsia="Arial" w:hAnsi="Arial" w:cs="Arial"/>
          <w:b w:val="0"/>
          <w:bCs w:val="0"/>
          <w:color w:val="404040" w:themeColor="text1" w:themeTint="BF"/>
          <w:sz w:val="18"/>
          <w:szCs w:val="18"/>
        </w:rPr>
        <w:t xml:space="preserve"> sought</w:t>
      </w:r>
      <w:r w:rsidRPr="0099002B">
        <w:rPr>
          <w:rStyle w:val="Strong"/>
          <w:rFonts w:ascii="Arial" w:eastAsia="Arial" w:hAnsi="Arial" w:cs="Arial"/>
          <w:color w:val="404040" w:themeColor="text1" w:themeTint="BF"/>
          <w:sz w:val="18"/>
          <w:szCs w:val="18"/>
        </w:rPr>
        <w:t xml:space="preserve"> to </w:t>
      </w:r>
      <w:r w:rsidRPr="0099002B">
        <w:rPr>
          <w:rFonts w:ascii="Arial" w:hAnsi="Arial" w:cs="Arial"/>
          <w:color w:val="404040" w:themeColor="text1" w:themeTint="BF"/>
          <w:sz w:val="18"/>
          <w:szCs w:val="18"/>
        </w:rPr>
        <w:t xml:space="preserve">establish a case-based learning framework, firstly by looking systematically at what lessons need to be learned by pipeline engineers, and associated capabilities developed, to maintain the industry’s public safety record. Secondly, the project then used this understanding to identify and begin to </w:t>
      </w:r>
      <w:r w:rsidR="00823770" w:rsidRPr="0099002B">
        <w:rPr>
          <w:rFonts w:ascii="Arial" w:hAnsi="Arial" w:cs="Arial"/>
          <w:color w:val="404040" w:themeColor="text1" w:themeTint="BF"/>
          <w:sz w:val="18"/>
          <w:szCs w:val="18"/>
        </w:rPr>
        <w:t xml:space="preserve">scope </w:t>
      </w:r>
      <w:r w:rsidRPr="0099002B">
        <w:rPr>
          <w:rFonts w:ascii="Arial" w:hAnsi="Arial" w:cs="Arial"/>
          <w:color w:val="404040" w:themeColor="text1" w:themeTint="BF"/>
          <w:sz w:val="18"/>
          <w:szCs w:val="18"/>
        </w:rPr>
        <w:t xml:space="preserve">a program of </w:t>
      </w:r>
      <w:r w:rsidR="004B035A" w:rsidRPr="0099002B">
        <w:rPr>
          <w:rFonts w:ascii="Arial" w:hAnsi="Arial" w:cs="Arial"/>
          <w:color w:val="404040" w:themeColor="text1" w:themeTint="BF"/>
          <w:sz w:val="18"/>
          <w:szCs w:val="18"/>
        </w:rPr>
        <w:t>case-based</w:t>
      </w:r>
      <w:r w:rsidRPr="0099002B">
        <w:rPr>
          <w:rFonts w:ascii="Arial" w:hAnsi="Arial" w:cs="Arial"/>
          <w:color w:val="404040" w:themeColor="text1" w:themeTint="BF"/>
          <w:sz w:val="18"/>
          <w:szCs w:val="18"/>
        </w:rPr>
        <w:t xml:space="preserve"> learning </w:t>
      </w:r>
      <w:r w:rsidR="003D4586" w:rsidRPr="0099002B">
        <w:rPr>
          <w:rFonts w:ascii="Arial" w:hAnsi="Arial" w:cs="Arial"/>
          <w:color w:val="404040" w:themeColor="text1" w:themeTint="BF"/>
          <w:sz w:val="18"/>
          <w:szCs w:val="18"/>
        </w:rPr>
        <w:t>experiences (</w:t>
      </w:r>
      <w:r w:rsidRPr="0099002B">
        <w:rPr>
          <w:rFonts w:ascii="Arial" w:hAnsi="Arial" w:cs="Arial"/>
          <w:color w:val="404040" w:themeColor="text1" w:themeTint="BF"/>
          <w:sz w:val="18"/>
          <w:szCs w:val="18"/>
        </w:rPr>
        <w:t xml:space="preserve">professional </w:t>
      </w:r>
      <w:r w:rsidR="003D4586" w:rsidRPr="0099002B">
        <w:rPr>
          <w:rFonts w:ascii="Arial" w:hAnsi="Arial" w:cs="Arial"/>
          <w:color w:val="404040" w:themeColor="text1" w:themeTint="BF"/>
          <w:sz w:val="18"/>
          <w:szCs w:val="18"/>
        </w:rPr>
        <w:t xml:space="preserve">learning modules) which are </w:t>
      </w:r>
      <w:r w:rsidRPr="0099002B">
        <w:rPr>
          <w:rFonts w:ascii="Arial" w:hAnsi="Arial" w:cs="Arial"/>
          <w:color w:val="404040" w:themeColor="text1" w:themeTint="BF"/>
          <w:sz w:val="18"/>
          <w:szCs w:val="18"/>
        </w:rPr>
        <w:t xml:space="preserve">informed by appropriate education models to support the best </w:t>
      </w:r>
      <w:r w:rsidR="0073747A">
        <w:rPr>
          <w:rFonts w:ascii="Arial" w:hAnsi="Arial" w:cs="Arial"/>
          <w:color w:val="404040" w:themeColor="text1" w:themeTint="BF"/>
          <w:sz w:val="18"/>
          <w:szCs w:val="18"/>
        </w:rPr>
        <w:t xml:space="preserve">engineering </w:t>
      </w:r>
      <w:r w:rsidRPr="0099002B">
        <w:rPr>
          <w:rFonts w:ascii="Arial" w:hAnsi="Arial" w:cs="Arial"/>
          <w:color w:val="404040" w:themeColor="text1" w:themeTint="BF"/>
          <w:sz w:val="18"/>
          <w:szCs w:val="18"/>
        </w:rPr>
        <w:t>decision making</w:t>
      </w:r>
      <w:r w:rsidR="0073747A">
        <w:rPr>
          <w:rFonts w:ascii="Arial" w:hAnsi="Arial" w:cs="Arial"/>
          <w:color w:val="404040" w:themeColor="text1" w:themeTint="BF"/>
          <w:sz w:val="18"/>
          <w:szCs w:val="18"/>
        </w:rPr>
        <w:t xml:space="preserve"> for public safety</w:t>
      </w:r>
      <w:r w:rsidRPr="0099002B">
        <w:rPr>
          <w:rFonts w:ascii="Arial" w:hAnsi="Arial" w:cs="Arial"/>
          <w:color w:val="404040" w:themeColor="text1" w:themeTint="BF"/>
          <w:sz w:val="18"/>
          <w:szCs w:val="18"/>
        </w:rPr>
        <w:t>.</w:t>
      </w:r>
    </w:p>
    <w:p w14:paraId="75CD9AB7" w14:textId="08ED6AE7" w:rsidR="00581FDA" w:rsidRPr="0099002B" w:rsidRDefault="00581FDA" w:rsidP="00581FDA">
      <w:pPr>
        <w:rPr>
          <w:rFonts w:ascii="Arial" w:hAnsi="Arial" w:cs="Arial"/>
          <w:color w:val="404040" w:themeColor="text1" w:themeTint="BF"/>
          <w:sz w:val="18"/>
          <w:szCs w:val="18"/>
        </w:rPr>
      </w:pPr>
      <w:r w:rsidRPr="0099002B">
        <w:rPr>
          <w:rFonts w:ascii="Arial" w:hAnsi="Arial" w:cs="Arial"/>
          <w:color w:val="404040" w:themeColor="text1" w:themeTint="BF"/>
          <w:sz w:val="18"/>
          <w:szCs w:val="18"/>
        </w:rPr>
        <w:t xml:space="preserve">A related project output was the development of a set of </w:t>
      </w:r>
      <w:r w:rsidR="00823770" w:rsidRPr="0099002B">
        <w:rPr>
          <w:rFonts w:ascii="Arial" w:hAnsi="Arial" w:cs="Arial"/>
          <w:color w:val="404040" w:themeColor="text1" w:themeTint="BF"/>
          <w:sz w:val="18"/>
          <w:szCs w:val="18"/>
        </w:rPr>
        <w:t xml:space="preserve">past accident </w:t>
      </w:r>
      <w:r w:rsidRPr="0099002B">
        <w:rPr>
          <w:rFonts w:ascii="Arial" w:hAnsi="Arial" w:cs="Arial"/>
          <w:color w:val="404040" w:themeColor="text1" w:themeTint="BF"/>
          <w:sz w:val="18"/>
          <w:szCs w:val="18"/>
        </w:rPr>
        <w:t xml:space="preserve">cases for use in an identified suite of training options to be delivered in </w:t>
      </w:r>
      <w:r w:rsidR="00823770" w:rsidRPr="0099002B">
        <w:rPr>
          <w:rFonts w:ascii="Arial" w:hAnsi="Arial" w:cs="Arial"/>
          <w:color w:val="404040" w:themeColor="text1" w:themeTint="BF"/>
          <w:sz w:val="18"/>
          <w:szCs w:val="18"/>
        </w:rPr>
        <w:t xml:space="preserve">a </w:t>
      </w:r>
      <w:r w:rsidRPr="0099002B">
        <w:rPr>
          <w:rFonts w:ascii="Arial" w:hAnsi="Arial" w:cs="Arial"/>
          <w:color w:val="404040" w:themeColor="text1" w:themeTint="BF"/>
          <w:sz w:val="18"/>
          <w:szCs w:val="18"/>
        </w:rPr>
        <w:t xml:space="preserve">future phase of this work (see </w:t>
      </w:r>
      <w:r w:rsidRPr="0099002B">
        <w:rPr>
          <w:rFonts w:ascii="Arial" w:hAnsi="Arial" w:cs="Arial"/>
          <w:b/>
          <w:bCs/>
          <w:color w:val="404040" w:themeColor="text1" w:themeTint="BF"/>
          <w:sz w:val="18"/>
          <w:szCs w:val="18"/>
        </w:rPr>
        <w:t>RP2.3-07</w:t>
      </w:r>
      <w:r w:rsidRPr="0099002B">
        <w:rPr>
          <w:rFonts w:ascii="Arial" w:hAnsi="Arial" w:cs="Arial"/>
          <w:color w:val="404040" w:themeColor="text1" w:themeTint="BF"/>
          <w:sz w:val="18"/>
          <w:szCs w:val="18"/>
        </w:rPr>
        <w:t>).</w:t>
      </w:r>
    </w:p>
    <w:p w14:paraId="458F517E" w14:textId="184D4F0C" w:rsidR="002B1B52" w:rsidRPr="0099002B" w:rsidRDefault="002B1B52" w:rsidP="1C3B124F">
      <w:pPr>
        <w:rPr>
          <w:rStyle w:val="Strong"/>
          <w:rFonts w:ascii="Arial" w:eastAsia="Arial" w:hAnsi="Arial" w:cs="Arial"/>
          <w:b w:val="0"/>
          <w:bCs w:val="0"/>
          <w:color w:val="404040" w:themeColor="text1" w:themeTint="BF"/>
          <w:sz w:val="18"/>
          <w:szCs w:val="18"/>
        </w:rPr>
      </w:pPr>
      <w:r w:rsidRPr="0099002B">
        <w:rPr>
          <w:rFonts w:ascii="Arial" w:hAnsi="Arial" w:cs="Arial"/>
          <w:b/>
          <w:bCs/>
          <w:color w:val="404040" w:themeColor="text1" w:themeTint="BF"/>
          <w:sz w:val="18"/>
          <w:szCs w:val="18"/>
        </w:rPr>
        <w:t>Industry need</w:t>
      </w:r>
    </w:p>
    <w:p w14:paraId="7A0C5D74" w14:textId="05FFA2C3" w:rsidR="00581FDA" w:rsidRPr="0099002B" w:rsidRDefault="002B1B52" w:rsidP="00581FDA">
      <w:pPr>
        <w:pStyle w:val="Default"/>
        <w:spacing w:after="160" w:line="259" w:lineRule="auto"/>
        <w:rPr>
          <w:color w:val="404040" w:themeColor="text1" w:themeTint="BF"/>
          <w:sz w:val="18"/>
          <w:szCs w:val="18"/>
        </w:rPr>
      </w:pPr>
      <w:r w:rsidRPr="0099002B">
        <w:rPr>
          <w:color w:val="404040" w:themeColor="text1" w:themeTint="BF"/>
          <w:sz w:val="18"/>
          <w:szCs w:val="18"/>
        </w:rPr>
        <w:t>Though the</w:t>
      </w:r>
      <w:r w:rsidR="00581FDA" w:rsidRPr="0099002B">
        <w:rPr>
          <w:color w:val="404040" w:themeColor="text1" w:themeTint="BF"/>
          <w:sz w:val="18"/>
          <w:szCs w:val="18"/>
        </w:rPr>
        <w:t xml:space="preserve"> Australian gas industry has a </w:t>
      </w:r>
      <w:r w:rsidRPr="0099002B">
        <w:rPr>
          <w:color w:val="404040" w:themeColor="text1" w:themeTint="BF"/>
          <w:sz w:val="18"/>
          <w:szCs w:val="18"/>
        </w:rPr>
        <w:t>generally excellent record of the when it comes to public safety and security of supply</w:t>
      </w:r>
      <w:r w:rsidR="00581FDA" w:rsidRPr="0099002B">
        <w:rPr>
          <w:color w:val="404040" w:themeColor="text1" w:themeTint="BF"/>
          <w:sz w:val="18"/>
          <w:szCs w:val="18"/>
        </w:rPr>
        <w:t>, the move to future fuels and the increasing integration of energy networks challenges individuals who work in the pipeline engineering profession to maintain their capacity for making excellent engineering decisions that can impact system integrity.</w:t>
      </w:r>
    </w:p>
    <w:p w14:paraId="7633C032" w14:textId="2E53511D" w:rsidR="003D4586" w:rsidRPr="0099002B" w:rsidRDefault="003D4586" w:rsidP="00E1039B">
      <w:pPr>
        <w:autoSpaceDE w:val="0"/>
        <w:autoSpaceDN w:val="0"/>
        <w:adjustRightInd w:val="0"/>
        <w:rPr>
          <w:rFonts w:ascii="ArialMT" w:hAnsi="ArialMT" w:cs="ArialMT"/>
          <w:color w:val="404040" w:themeColor="text1" w:themeTint="BF"/>
          <w:sz w:val="18"/>
          <w:szCs w:val="18"/>
        </w:rPr>
      </w:pPr>
      <w:r w:rsidRPr="0099002B">
        <w:rPr>
          <w:rFonts w:ascii="ArialMT" w:hAnsi="ArialMT" w:cs="ArialMT"/>
          <w:color w:val="404040" w:themeColor="text1" w:themeTint="BF"/>
          <w:sz w:val="18"/>
          <w:szCs w:val="18"/>
        </w:rPr>
        <w:t xml:space="preserve">Additionally, </w:t>
      </w:r>
      <w:proofErr w:type="gramStart"/>
      <w:r w:rsidRPr="0099002B">
        <w:rPr>
          <w:rFonts w:ascii="ArialMT" w:hAnsi="ArialMT" w:cs="ArialMT"/>
          <w:color w:val="404040" w:themeColor="text1" w:themeTint="BF"/>
          <w:sz w:val="18"/>
          <w:szCs w:val="18"/>
        </w:rPr>
        <w:t>in order to</w:t>
      </w:r>
      <w:proofErr w:type="gramEnd"/>
      <w:r w:rsidRPr="0099002B">
        <w:rPr>
          <w:rFonts w:ascii="ArialMT" w:hAnsi="ArialMT" w:cs="ArialMT"/>
          <w:color w:val="404040" w:themeColor="text1" w:themeTint="BF"/>
          <w:sz w:val="18"/>
          <w:szCs w:val="18"/>
        </w:rPr>
        <w:t xml:space="preserve"> maintain the pipeline sector’s excellent public safety record there is a need for professional development activities to address both technical competenc</w:t>
      </w:r>
      <w:r w:rsidR="00823770" w:rsidRPr="0099002B">
        <w:rPr>
          <w:rFonts w:ascii="ArialMT" w:hAnsi="ArialMT" w:cs="ArialMT"/>
          <w:color w:val="404040" w:themeColor="text1" w:themeTint="BF"/>
          <w:sz w:val="18"/>
          <w:szCs w:val="18"/>
        </w:rPr>
        <w:t>i</w:t>
      </w:r>
      <w:r w:rsidRPr="0099002B">
        <w:rPr>
          <w:rFonts w:ascii="ArialMT" w:hAnsi="ArialMT" w:cs="ArialMT"/>
          <w:color w:val="404040" w:themeColor="text1" w:themeTint="BF"/>
          <w:sz w:val="18"/>
          <w:szCs w:val="18"/>
        </w:rPr>
        <w:t>e</w:t>
      </w:r>
      <w:r w:rsidR="00823770" w:rsidRPr="0099002B">
        <w:rPr>
          <w:rFonts w:ascii="ArialMT" w:hAnsi="ArialMT" w:cs="ArialMT"/>
          <w:color w:val="404040" w:themeColor="text1" w:themeTint="BF"/>
          <w:sz w:val="18"/>
          <w:szCs w:val="18"/>
        </w:rPr>
        <w:t>s</w:t>
      </w:r>
      <w:r w:rsidR="004B035A" w:rsidRPr="0099002B">
        <w:rPr>
          <w:rFonts w:ascii="ArialMT" w:hAnsi="ArialMT" w:cs="ArialMT"/>
          <w:color w:val="404040" w:themeColor="text1" w:themeTint="BF"/>
          <w:sz w:val="18"/>
          <w:szCs w:val="18"/>
        </w:rPr>
        <w:t xml:space="preserve"> (which </w:t>
      </w:r>
      <w:r w:rsidR="00823770" w:rsidRPr="0099002B">
        <w:rPr>
          <w:rFonts w:ascii="ArialMT" w:hAnsi="ArialMT" w:cs="ArialMT"/>
          <w:color w:val="404040" w:themeColor="text1" w:themeTint="BF"/>
          <w:sz w:val="18"/>
          <w:szCs w:val="18"/>
        </w:rPr>
        <w:t xml:space="preserve">is </w:t>
      </w:r>
      <w:r w:rsidR="004B035A" w:rsidRPr="0099002B">
        <w:rPr>
          <w:rFonts w:ascii="ArialMT" w:hAnsi="ArialMT" w:cs="ArialMT"/>
          <w:color w:val="404040" w:themeColor="text1" w:themeTint="BF"/>
          <w:sz w:val="18"/>
          <w:szCs w:val="18"/>
        </w:rPr>
        <w:t>the usual focus)</w:t>
      </w:r>
      <w:r w:rsidRPr="0099002B">
        <w:rPr>
          <w:rFonts w:ascii="ArialMT" w:hAnsi="ArialMT" w:cs="ArialMT"/>
          <w:color w:val="404040" w:themeColor="text1" w:themeTint="BF"/>
          <w:sz w:val="18"/>
          <w:szCs w:val="18"/>
        </w:rPr>
        <w:t xml:space="preserve"> </w:t>
      </w:r>
      <w:r w:rsidRPr="0099002B">
        <w:rPr>
          <w:rFonts w:ascii="ArialMT" w:hAnsi="ArialMT" w:cs="ArialMT"/>
          <w:i/>
          <w:iCs/>
          <w:color w:val="404040" w:themeColor="text1" w:themeTint="BF"/>
          <w:sz w:val="18"/>
          <w:szCs w:val="18"/>
        </w:rPr>
        <w:t>and</w:t>
      </w:r>
      <w:r w:rsidRPr="0099002B">
        <w:rPr>
          <w:rFonts w:ascii="ArialMT" w:hAnsi="ArialMT" w:cs="ArialMT"/>
          <w:color w:val="404040" w:themeColor="text1" w:themeTint="BF"/>
          <w:sz w:val="18"/>
          <w:szCs w:val="18"/>
        </w:rPr>
        <w:t xml:space="preserve"> relevant non-technical capabilities. For example, high-quality decision-making requires additionally skills </w:t>
      </w:r>
      <w:r w:rsidR="004B035A" w:rsidRPr="0099002B">
        <w:rPr>
          <w:rFonts w:ascii="ArialMT" w:hAnsi="ArialMT" w:cs="ArialMT"/>
          <w:color w:val="404040" w:themeColor="text1" w:themeTint="BF"/>
          <w:sz w:val="18"/>
          <w:szCs w:val="18"/>
        </w:rPr>
        <w:t xml:space="preserve">for </w:t>
      </w:r>
      <w:r w:rsidRPr="0099002B">
        <w:rPr>
          <w:rFonts w:ascii="ArialMT" w:hAnsi="ArialMT" w:cs="ArialMT"/>
          <w:color w:val="404040" w:themeColor="text1" w:themeTint="BF"/>
          <w:sz w:val="18"/>
          <w:szCs w:val="18"/>
        </w:rPr>
        <w:t>mak</w:t>
      </w:r>
      <w:r w:rsidR="004B035A" w:rsidRPr="0099002B">
        <w:rPr>
          <w:rFonts w:ascii="ArialMT" w:hAnsi="ArialMT" w:cs="ArialMT"/>
          <w:color w:val="404040" w:themeColor="text1" w:themeTint="BF"/>
          <w:sz w:val="18"/>
          <w:szCs w:val="18"/>
        </w:rPr>
        <w:t xml:space="preserve">ing </w:t>
      </w:r>
      <w:r w:rsidRPr="0099002B">
        <w:rPr>
          <w:rFonts w:ascii="ArialMT" w:hAnsi="ArialMT" w:cs="ArialMT"/>
          <w:color w:val="404040" w:themeColor="text1" w:themeTint="BF"/>
          <w:sz w:val="18"/>
          <w:szCs w:val="18"/>
        </w:rPr>
        <w:t xml:space="preserve">the best choices in complex situations of significant uncertainty. </w:t>
      </w:r>
    </w:p>
    <w:p w14:paraId="054341A7" w14:textId="77777777" w:rsidR="00E1039B" w:rsidRPr="0099002B" w:rsidRDefault="00E1039B" w:rsidP="00E1039B">
      <w:pPr>
        <w:autoSpaceDE w:val="0"/>
        <w:autoSpaceDN w:val="0"/>
        <w:adjustRightInd w:val="0"/>
        <w:rPr>
          <w:rFonts w:ascii="ArialMT" w:hAnsi="ArialMT" w:cs="ArialMT"/>
          <w:b/>
          <w:bCs/>
          <w:color w:val="404040" w:themeColor="text1" w:themeTint="BF"/>
          <w:sz w:val="18"/>
          <w:szCs w:val="18"/>
        </w:rPr>
      </w:pPr>
      <w:r w:rsidRPr="0099002B">
        <w:rPr>
          <w:rFonts w:ascii="ArialMT" w:hAnsi="ArialMT" w:cs="ArialMT"/>
          <w:b/>
          <w:bCs/>
          <w:color w:val="404040" w:themeColor="text1" w:themeTint="BF"/>
          <w:sz w:val="18"/>
          <w:szCs w:val="18"/>
        </w:rPr>
        <w:t>Research activities and outcomes</w:t>
      </w:r>
    </w:p>
    <w:p w14:paraId="20B52B53" w14:textId="6153F72A" w:rsidR="00F94E92" w:rsidRPr="0099002B" w:rsidRDefault="00F94E92" w:rsidP="00160F91">
      <w:pPr>
        <w:autoSpaceDE w:val="0"/>
        <w:autoSpaceDN w:val="0"/>
        <w:adjustRightInd w:val="0"/>
        <w:spacing w:after="0"/>
        <w:rPr>
          <w:rFonts w:ascii="Arial" w:hAnsi="Arial" w:cs="Arial"/>
          <w:color w:val="404040" w:themeColor="text1" w:themeTint="BF"/>
          <w:sz w:val="18"/>
          <w:szCs w:val="18"/>
        </w:rPr>
      </w:pPr>
      <w:r w:rsidRPr="0099002B">
        <w:rPr>
          <w:rFonts w:ascii="Arial" w:hAnsi="Arial" w:cs="Arial"/>
          <w:color w:val="404040" w:themeColor="text1" w:themeTint="BF"/>
          <w:sz w:val="18"/>
          <w:szCs w:val="18"/>
        </w:rPr>
        <w:t xml:space="preserve">As noted above, a key focus of this project was the </w:t>
      </w:r>
      <w:r w:rsidR="00823770" w:rsidRPr="0099002B">
        <w:rPr>
          <w:rFonts w:ascii="Arial" w:hAnsi="Arial" w:cs="Arial"/>
          <w:color w:val="404040" w:themeColor="text1" w:themeTint="BF"/>
          <w:sz w:val="18"/>
          <w:szCs w:val="18"/>
        </w:rPr>
        <w:t xml:space="preserve">scoping </w:t>
      </w:r>
      <w:r w:rsidRPr="0099002B">
        <w:rPr>
          <w:rFonts w:ascii="Arial" w:hAnsi="Arial" w:cs="Arial"/>
          <w:color w:val="404040" w:themeColor="text1" w:themeTint="BF"/>
          <w:sz w:val="18"/>
          <w:szCs w:val="18"/>
        </w:rPr>
        <w:t>of education modules for professional learning</w:t>
      </w:r>
      <w:r w:rsidR="0099002B">
        <w:rPr>
          <w:rFonts w:ascii="Arial" w:hAnsi="Arial" w:cs="Arial"/>
          <w:color w:val="404040" w:themeColor="text1" w:themeTint="BF"/>
          <w:sz w:val="18"/>
          <w:szCs w:val="18"/>
        </w:rPr>
        <w:t xml:space="preserve"> to advance non-technical capabilities</w:t>
      </w:r>
      <w:r w:rsidRPr="0099002B">
        <w:rPr>
          <w:rFonts w:ascii="Arial" w:hAnsi="Arial" w:cs="Arial"/>
          <w:color w:val="404040" w:themeColor="text1" w:themeTint="BF"/>
          <w:sz w:val="18"/>
          <w:szCs w:val="18"/>
        </w:rPr>
        <w:t>. Two methods were used to ground the choices that were made about</w:t>
      </w:r>
      <w:r w:rsidR="00823770" w:rsidRPr="0099002B">
        <w:rPr>
          <w:rFonts w:ascii="Arial" w:hAnsi="Arial" w:cs="Arial"/>
          <w:color w:val="404040" w:themeColor="text1" w:themeTint="BF"/>
          <w:sz w:val="18"/>
          <w:szCs w:val="18"/>
        </w:rPr>
        <w:t xml:space="preserve"> the</w:t>
      </w:r>
      <w:r w:rsidRPr="0099002B">
        <w:rPr>
          <w:rFonts w:ascii="Arial" w:hAnsi="Arial" w:cs="Arial"/>
          <w:color w:val="404040" w:themeColor="text1" w:themeTint="BF"/>
          <w:sz w:val="18"/>
          <w:szCs w:val="18"/>
        </w:rPr>
        <w:t xml:space="preserve"> learning objectives and the required capabilities in professional practice:</w:t>
      </w:r>
    </w:p>
    <w:p w14:paraId="7242B605" w14:textId="2719023B" w:rsidR="00F94E92" w:rsidRPr="0099002B" w:rsidRDefault="00F94E92" w:rsidP="00F94E92">
      <w:pPr>
        <w:pStyle w:val="ListParagraph"/>
        <w:numPr>
          <w:ilvl w:val="0"/>
          <w:numId w:val="8"/>
        </w:numPr>
        <w:autoSpaceDE w:val="0"/>
        <w:autoSpaceDN w:val="0"/>
        <w:adjustRightInd w:val="0"/>
        <w:rPr>
          <w:rFonts w:ascii="Arial" w:hAnsi="Arial" w:cs="Arial"/>
          <w:color w:val="404040" w:themeColor="text1" w:themeTint="BF"/>
          <w:sz w:val="18"/>
          <w:szCs w:val="18"/>
        </w:rPr>
      </w:pPr>
      <w:r w:rsidRPr="0099002B">
        <w:rPr>
          <w:rFonts w:ascii="Arial" w:hAnsi="Arial" w:cs="Arial"/>
          <w:color w:val="404040" w:themeColor="text1" w:themeTint="BF"/>
          <w:sz w:val="18"/>
          <w:szCs w:val="18"/>
        </w:rPr>
        <w:t>Literature review: the researchers conducted a review of pipeline engineering practices for public safety and associated capability needs</w:t>
      </w:r>
      <w:r w:rsidR="004F2138" w:rsidRPr="0099002B">
        <w:rPr>
          <w:rFonts w:ascii="Arial" w:hAnsi="Arial" w:cs="Arial"/>
          <w:color w:val="404040" w:themeColor="text1" w:themeTint="BF"/>
          <w:sz w:val="18"/>
          <w:szCs w:val="18"/>
        </w:rPr>
        <w:t>; and</w:t>
      </w:r>
    </w:p>
    <w:p w14:paraId="40CCC73D" w14:textId="5217DC0D" w:rsidR="00F94E92" w:rsidRPr="0099002B" w:rsidRDefault="00F94E92" w:rsidP="00F94E92">
      <w:pPr>
        <w:pStyle w:val="ListParagraph"/>
        <w:numPr>
          <w:ilvl w:val="0"/>
          <w:numId w:val="8"/>
        </w:numPr>
        <w:autoSpaceDE w:val="0"/>
        <w:autoSpaceDN w:val="0"/>
        <w:adjustRightInd w:val="0"/>
        <w:rPr>
          <w:rFonts w:ascii="Arial" w:hAnsi="Arial" w:cs="Arial"/>
          <w:color w:val="404040" w:themeColor="text1" w:themeTint="BF"/>
          <w:sz w:val="18"/>
          <w:szCs w:val="18"/>
        </w:rPr>
      </w:pPr>
      <w:r w:rsidRPr="0099002B">
        <w:rPr>
          <w:rFonts w:ascii="Arial" w:hAnsi="Arial" w:cs="Arial"/>
          <w:color w:val="404040" w:themeColor="text1" w:themeTint="BF"/>
          <w:sz w:val="18"/>
          <w:szCs w:val="18"/>
        </w:rPr>
        <w:t>Undertaking fieldwork which</w:t>
      </w:r>
      <w:r w:rsidR="0099002B">
        <w:rPr>
          <w:rFonts w:ascii="Arial" w:hAnsi="Arial" w:cs="Arial"/>
          <w:color w:val="404040" w:themeColor="text1" w:themeTint="BF"/>
          <w:sz w:val="18"/>
          <w:szCs w:val="18"/>
        </w:rPr>
        <w:t xml:space="preserve"> principally involved </w:t>
      </w:r>
      <w:r w:rsidRPr="0099002B">
        <w:rPr>
          <w:rFonts w:ascii="Arial" w:hAnsi="Arial" w:cs="Arial"/>
          <w:color w:val="404040" w:themeColor="text1" w:themeTint="BF"/>
          <w:sz w:val="18"/>
          <w:szCs w:val="18"/>
        </w:rPr>
        <w:t>interviews with pipeline engineers</w:t>
      </w:r>
      <w:r w:rsidR="004F2138" w:rsidRPr="0099002B">
        <w:rPr>
          <w:rFonts w:ascii="Arial" w:hAnsi="Arial" w:cs="Arial"/>
          <w:color w:val="404040" w:themeColor="text1" w:themeTint="BF"/>
          <w:sz w:val="18"/>
          <w:szCs w:val="18"/>
        </w:rPr>
        <w:t>.</w:t>
      </w:r>
    </w:p>
    <w:p w14:paraId="2D59AA35" w14:textId="373D2313" w:rsidR="00F94E92" w:rsidRPr="0099002B" w:rsidRDefault="00F94E92" w:rsidP="00160F91">
      <w:pPr>
        <w:autoSpaceDE w:val="0"/>
        <w:autoSpaceDN w:val="0"/>
        <w:adjustRightInd w:val="0"/>
        <w:spacing w:after="0"/>
        <w:rPr>
          <w:rFonts w:ascii="Arial" w:hAnsi="Arial" w:cs="Arial"/>
          <w:color w:val="404040" w:themeColor="text1" w:themeTint="BF"/>
          <w:sz w:val="18"/>
          <w:szCs w:val="18"/>
        </w:rPr>
      </w:pPr>
      <w:r w:rsidRPr="0099002B">
        <w:rPr>
          <w:rFonts w:ascii="Arial" w:hAnsi="Arial" w:cs="Arial"/>
          <w:color w:val="404040" w:themeColor="text1" w:themeTint="BF"/>
          <w:sz w:val="18"/>
          <w:szCs w:val="18"/>
        </w:rPr>
        <w:t>A related professional learning design framework was developed</w:t>
      </w:r>
      <w:r w:rsidRPr="0099002B">
        <w:rPr>
          <w:rStyle w:val="FootnoteReference"/>
          <w:rFonts w:ascii="Arial" w:hAnsi="Arial" w:cs="Arial"/>
          <w:color w:val="404040" w:themeColor="text1" w:themeTint="BF"/>
          <w:sz w:val="18"/>
          <w:szCs w:val="18"/>
        </w:rPr>
        <w:footnoteReference w:id="1"/>
      </w:r>
      <w:r w:rsidRPr="0099002B">
        <w:rPr>
          <w:rFonts w:ascii="Arial" w:hAnsi="Arial" w:cs="Arial"/>
          <w:color w:val="404040" w:themeColor="text1" w:themeTint="BF"/>
          <w:sz w:val="18"/>
          <w:szCs w:val="18"/>
        </w:rPr>
        <w:t xml:space="preserve"> and guided this process</w:t>
      </w:r>
      <w:r w:rsidR="00823770" w:rsidRPr="0099002B">
        <w:rPr>
          <w:rFonts w:ascii="Arial" w:hAnsi="Arial" w:cs="Arial"/>
          <w:color w:val="404040" w:themeColor="text1" w:themeTint="BF"/>
          <w:sz w:val="18"/>
          <w:szCs w:val="18"/>
        </w:rPr>
        <w:t xml:space="preserve">. This framework has </w:t>
      </w:r>
      <w:r w:rsidRPr="0099002B">
        <w:rPr>
          <w:rFonts w:ascii="Arial" w:hAnsi="Arial" w:cs="Arial"/>
          <w:color w:val="404040" w:themeColor="text1" w:themeTint="BF"/>
          <w:sz w:val="18"/>
          <w:szCs w:val="18"/>
        </w:rPr>
        <w:t>the following</w:t>
      </w:r>
      <w:r w:rsidR="00531F5F" w:rsidRPr="0099002B">
        <w:rPr>
          <w:rFonts w:ascii="Arial" w:hAnsi="Arial" w:cs="Arial"/>
          <w:color w:val="404040" w:themeColor="text1" w:themeTint="BF"/>
          <w:sz w:val="18"/>
          <w:szCs w:val="18"/>
        </w:rPr>
        <w:t xml:space="preserve"> six stages</w:t>
      </w:r>
      <w:r w:rsidRPr="0099002B">
        <w:rPr>
          <w:rFonts w:ascii="Arial" w:hAnsi="Arial" w:cs="Arial"/>
          <w:color w:val="404040" w:themeColor="text1" w:themeTint="BF"/>
          <w:sz w:val="18"/>
          <w:szCs w:val="18"/>
        </w:rPr>
        <w:t>:</w:t>
      </w:r>
    </w:p>
    <w:p w14:paraId="63780C95" w14:textId="5063F939" w:rsidR="00F94E92" w:rsidRPr="0099002B" w:rsidRDefault="00531F5F" w:rsidP="00531F5F">
      <w:pPr>
        <w:pStyle w:val="ListParagraph"/>
        <w:numPr>
          <w:ilvl w:val="0"/>
          <w:numId w:val="9"/>
        </w:numPr>
        <w:autoSpaceDE w:val="0"/>
        <w:autoSpaceDN w:val="0"/>
        <w:adjustRightInd w:val="0"/>
        <w:rPr>
          <w:rFonts w:ascii="Arial" w:hAnsi="Arial" w:cs="Arial"/>
          <w:color w:val="404040" w:themeColor="text1" w:themeTint="BF"/>
          <w:sz w:val="18"/>
          <w:szCs w:val="18"/>
        </w:rPr>
      </w:pPr>
      <w:r w:rsidRPr="0099002B">
        <w:rPr>
          <w:rFonts w:ascii="Arial" w:hAnsi="Arial" w:cs="Arial"/>
          <w:color w:val="404040" w:themeColor="text1" w:themeTint="BF"/>
          <w:sz w:val="18"/>
          <w:szCs w:val="18"/>
        </w:rPr>
        <w:t>Needs identification</w:t>
      </w:r>
      <w:r w:rsidR="004F2138" w:rsidRPr="0099002B">
        <w:rPr>
          <w:rFonts w:ascii="Arial" w:hAnsi="Arial" w:cs="Arial"/>
          <w:color w:val="404040" w:themeColor="text1" w:themeTint="BF"/>
          <w:sz w:val="18"/>
          <w:szCs w:val="18"/>
        </w:rPr>
        <w:t>;</w:t>
      </w:r>
    </w:p>
    <w:p w14:paraId="24F5513A" w14:textId="265CE23D" w:rsidR="00F94E92" w:rsidRPr="0099002B" w:rsidRDefault="00531F5F" w:rsidP="00531F5F">
      <w:pPr>
        <w:pStyle w:val="ListParagraph"/>
        <w:numPr>
          <w:ilvl w:val="0"/>
          <w:numId w:val="9"/>
        </w:numPr>
        <w:autoSpaceDE w:val="0"/>
        <w:autoSpaceDN w:val="0"/>
        <w:adjustRightInd w:val="0"/>
        <w:rPr>
          <w:rFonts w:ascii="Arial" w:hAnsi="Arial" w:cs="Arial"/>
          <w:color w:val="404040" w:themeColor="text1" w:themeTint="BF"/>
          <w:sz w:val="18"/>
          <w:szCs w:val="18"/>
        </w:rPr>
      </w:pPr>
      <w:r w:rsidRPr="0099002B">
        <w:rPr>
          <w:rFonts w:ascii="Arial" w:hAnsi="Arial" w:cs="Arial"/>
          <w:color w:val="404040" w:themeColor="text1" w:themeTint="BF"/>
          <w:sz w:val="18"/>
          <w:szCs w:val="18"/>
        </w:rPr>
        <w:t xml:space="preserve">Learning objectives and outcomes </w:t>
      </w:r>
      <w:proofErr w:type="gramStart"/>
      <w:r w:rsidRPr="0099002B">
        <w:rPr>
          <w:rFonts w:ascii="Arial" w:hAnsi="Arial" w:cs="Arial"/>
          <w:color w:val="404040" w:themeColor="text1" w:themeTint="BF"/>
          <w:sz w:val="18"/>
          <w:szCs w:val="18"/>
        </w:rPr>
        <w:t>development</w:t>
      </w:r>
      <w:r w:rsidR="004F2138" w:rsidRPr="0099002B">
        <w:rPr>
          <w:rFonts w:ascii="Arial" w:hAnsi="Arial" w:cs="Arial"/>
          <w:color w:val="404040" w:themeColor="text1" w:themeTint="BF"/>
          <w:sz w:val="18"/>
          <w:szCs w:val="18"/>
        </w:rPr>
        <w:t>;</w:t>
      </w:r>
      <w:proofErr w:type="gramEnd"/>
    </w:p>
    <w:p w14:paraId="6DA4BC81" w14:textId="54601287" w:rsidR="00531F5F" w:rsidRPr="0099002B" w:rsidRDefault="00531F5F" w:rsidP="00531F5F">
      <w:pPr>
        <w:pStyle w:val="ListParagraph"/>
        <w:numPr>
          <w:ilvl w:val="0"/>
          <w:numId w:val="9"/>
        </w:numPr>
        <w:autoSpaceDE w:val="0"/>
        <w:autoSpaceDN w:val="0"/>
        <w:adjustRightInd w:val="0"/>
        <w:rPr>
          <w:rFonts w:ascii="Arial" w:hAnsi="Arial" w:cs="Arial"/>
          <w:color w:val="404040" w:themeColor="text1" w:themeTint="BF"/>
          <w:sz w:val="18"/>
          <w:szCs w:val="18"/>
        </w:rPr>
      </w:pPr>
      <w:r w:rsidRPr="0099002B">
        <w:rPr>
          <w:rFonts w:ascii="Arial" w:hAnsi="Arial" w:cs="Arial"/>
          <w:color w:val="404040" w:themeColor="text1" w:themeTint="BF"/>
          <w:sz w:val="18"/>
          <w:szCs w:val="18"/>
        </w:rPr>
        <w:t xml:space="preserve">Professional capability </w:t>
      </w:r>
      <w:proofErr w:type="gramStart"/>
      <w:r w:rsidRPr="0099002B">
        <w:rPr>
          <w:rFonts w:ascii="Arial" w:hAnsi="Arial" w:cs="Arial"/>
          <w:color w:val="404040" w:themeColor="text1" w:themeTint="BF"/>
          <w:sz w:val="18"/>
          <w:szCs w:val="18"/>
        </w:rPr>
        <w:t>identification</w:t>
      </w:r>
      <w:r w:rsidR="004F2138" w:rsidRPr="0099002B">
        <w:rPr>
          <w:rFonts w:ascii="Arial" w:hAnsi="Arial" w:cs="Arial"/>
          <w:color w:val="404040" w:themeColor="text1" w:themeTint="BF"/>
          <w:sz w:val="18"/>
          <w:szCs w:val="18"/>
        </w:rPr>
        <w:t>;</w:t>
      </w:r>
      <w:proofErr w:type="gramEnd"/>
    </w:p>
    <w:p w14:paraId="63755B1D" w14:textId="04B3B31E" w:rsidR="00531F5F" w:rsidRPr="0099002B" w:rsidRDefault="00531F5F" w:rsidP="00531F5F">
      <w:pPr>
        <w:pStyle w:val="ListParagraph"/>
        <w:numPr>
          <w:ilvl w:val="0"/>
          <w:numId w:val="9"/>
        </w:numPr>
        <w:autoSpaceDE w:val="0"/>
        <w:autoSpaceDN w:val="0"/>
        <w:adjustRightInd w:val="0"/>
        <w:rPr>
          <w:rFonts w:ascii="Arial" w:hAnsi="Arial" w:cs="Arial"/>
          <w:color w:val="404040" w:themeColor="text1" w:themeTint="BF"/>
          <w:sz w:val="18"/>
          <w:szCs w:val="18"/>
        </w:rPr>
      </w:pPr>
      <w:r w:rsidRPr="0099002B">
        <w:rPr>
          <w:rFonts w:ascii="Arial" w:hAnsi="Arial" w:cs="Arial"/>
          <w:color w:val="404040" w:themeColor="text1" w:themeTint="BF"/>
          <w:sz w:val="18"/>
          <w:szCs w:val="18"/>
        </w:rPr>
        <w:t xml:space="preserve">Identification of educational </w:t>
      </w:r>
      <w:proofErr w:type="gramStart"/>
      <w:r w:rsidRPr="0099002B">
        <w:rPr>
          <w:rFonts w:ascii="Arial" w:hAnsi="Arial" w:cs="Arial"/>
          <w:color w:val="404040" w:themeColor="text1" w:themeTint="BF"/>
          <w:sz w:val="18"/>
          <w:szCs w:val="18"/>
        </w:rPr>
        <w:t>approach</w:t>
      </w:r>
      <w:r w:rsidR="004F2138" w:rsidRPr="0099002B">
        <w:rPr>
          <w:rFonts w:ascii="Arial" w:hAnsi="Arial" w:cs="Arial"/>
          <w:color w:val="404040" w:themeColor="text1" w:themeTint="BF"/>
          <w:sz w:val="18"/>
          <w:szCs w:val="18"/>
        </w:rPr>
        <w:t>;</w:t>
      </w:r>
      <w:proofErr w:type="gramEnd"/>
    </w:p>
    <w:p w14:paraId="76CF5F4C" w14:textId="4A10FEDC" w:rsidR="00531F5F" w:rsidRPr="0099002B" w:rsidRDefault="00531F5F" w:rsidP="00531F5F">
      <w:pPr>
        <w:pStyle w:val="ListParagraph"/>
        <w:numPr>
          <w:ilvl w:val="0"/>
          <w:numId w:val="9"/>
        </w:numPr>
        <w:autoSpaceDE w:val="0"/>
        <w:autoSpaceDN w:val="0"/>
        <w:adjustRightInd w:val="0"/>
        <w:rPr>
          <w:rFonts w:ascii="Arial" w:hAnsi="Arial" w:cs="Arial"/>
          <w:color w:val="404040" w:themeColor="text1" w:themeTint="BF"/>
          <w:sz w:val="18"/>
          <w:szCs w:val="18"/>
        </w:rPr>
      </w:pPr>
      <w:r w:rsidRPr="0099002B">
        <w:rPr>
          <w:rFonts w:ascii="Arial" w:hAnsi="Arial" w:cs="Arial"/>
          <w:color w:val="404040" w:themeColor="text1" w:themeTint="BF"/>
          <w:sz w:val="18"/>
          <w:szCs w:val="18"/>
        </w:rPr>
        <w:t>Identification of appropriate learning activities and content material</w:t>
      </w:r>
      <w:r w:rsidR="004F2138" w:rsidRPr="0099002B">
        <w:rPr>
          <w:rFonts w:ascii="Arial" w:hAnsi="Arial" w:cs="Arial"/>
          <w:color w:val="404040" w:themeColor="text1" w:themeTint="BF"/>
          <w:sz w:val="18"/>
          <w:szCs w:val="18"/>
        </w:rPr>
        <w:t>; and</w:t>
      </w:r>
    </w:p>
    <w:p w14:paraId="01DEED6B" w14:textId="090E263A" w:rsidR="00531F5F" w:rsidRPr="0099002B" w:rsidRDefault="00531F5F" w:rsidP="00531F5F">
      <w:pPr>
        <w:pStyle w:val="ListParagraph"/>
        <w:numPr>
          <w:ilvl w:val="0"/>
          <w:numId w:val="9"/>
        </w:numPr>
        <w:autoSpaceDE w:val="0"/>
        <w:autoSpaceDN w:val="0"/>
        <w:adjustRightInd w:val="0"/>
        <w:rPr>
          <w:rFonts w:ascii="Arial" w:hAnsi="Arial" w:cs="Arial"/>
          <w:color w:val="404040" w:themeColor="text1" w:themeTint="BF"/>
          <w:sz w:val="18"/>
          <w:szCs w:val="18"/>
        </w:rPr>
      </w:pPr>
      <w:r w:rsidRPr="0099002B">
        <w:rPr>
          <w:rFonts w:ascii="Arial" w:hAnsi="Arial" w:cs="Arial"/>
          <w:color w:val="404040" w:themeColor="text1" w:themeTint="BF"/>
          <w:sz w:val="18"/>
          <w:szCs w:val="18"/>
        </w:rPr>
        <w:t>Evaluation strategy</w:t>
      </w:r>
      <w:r w:rsidR="004F2138" w:rsidRPr="0099002B">
        <w:rPr>
          <w:rFonts w:ascii="Arial" w:hAnsi="Arial" w:cs="Arial"/>
          <w:color w:val="404040" w:themeColor="text1" w:themeTint="BF"/>
          <w:sz w:val="18"/>
          <w:szCs w:val="18"/>
        </w:rPr>
        <w:t>.</w:t>
      </w:r>
    </w:p>
    <w:p w14:paraId="009E68CB" w14:textId="1DD674F2" w:rsidR="00531F5F" w:rsidRPr="0099002B" w:rsidRDefault="00531F5F" w:rsidP="00D313AD">
      <w:pPr>
        <w:autoSpaceDE w:val="0"/>
        <w:autoSpaceDN w:val="0"/>
        <w:adjustRightInd w:val="0"/>
        <w:spacing w:after="0" w:line="288" w:lineRule="auto"/>
        <w:rPr>
          <w:rFonts w:ascii="Arial" w:hAnsi="Arial" w:cs="Arial"/>
          <w:color w:val="404040" w:themeColor="text1" w:themeTint="BF"/>
          <w:sz w:val="18"/>
          <w:szCs w:val="18"/>
        </w:rPr>
      </w:pPr>
      <w:r w:rsidRPr="0099002B">
        <w:rPr>
          <w:rFonts w:ascii="Arial" w:hAnsi="Arial" w:cs="Arial"/>
          <w:color w:val="404040" w:themeColor="text1" w:themeTint="BF"/>
          <w:sz w:val="18"/>
          <w:szCs w:val="18"/>
        </w:rPr>
        <w:t>The research identified six overarching non-technical professional capabilities:</w:t>
      </w:r>
    </w:p>
    <w:tbl>
      <w:tblPr>
        <w:tblStyle w:val="TableGrid"/>
        <w:tblW w:w="0" w:type="auto"/>
        <w:tblLook w:val="04A0" w:firstRow="1" w:lastRow="0" w:firstColumn="1" w:lastColumn="0" w:noHBand="0" w:noVBand="1"/>
      </w:tblPr>
      <w:tblGrid>
        <w:gridCol w:w="4148"/>
        <w:gridCol w:w="4148"/>
      </w:tblGrid>
      <w:tr w:rsidR="00531F5F" w14:paraId="046255C1" w14:textId="77777777" w:rsidTr="00531F5F">
        <w:tc>
          <w:tcPr>
            <w:tcW w:w="4148" w:type="dxa"/>
            <w:shd w:val="clear" w:color="auto" w:fill="D0CECE" w:themeFill="background2" w:themeFillShade="E6"/>
          </w:tcPr>
          <w:p w14:paraId="716558CF" w14:textId="5FFF5552" w:rsidR="00531F5F" w:rsidRPr="00160F91" w:rsidRDefault="00531F5F" w:rsidP="00160F91">
            <w:pPr>
              <w:autoSpaceDE w:val="0"/>
              <w:autoSpaceDN w:val="0"/>
              <w:adjustRightInd w:val="0"/>
              <w:rPr>
                <w:rFonts w:ascii="Arial" w:hAnsi="Arial" w:cs="Arial"/>
                <w:b/>
                <w:bCs/>
                <w:color w:val="404040" w:themeColor="text1" w:themeTint="BF"/>
                <w:sz w:val="18"/>
                <w:szCs w:val="18"/>
              </w:rPr>
            </w:pPr>
            <w:r w:rsidRPr="00160F91">
              <w:rPr>
                <w:rFonts w:ascii="Arial" w:hAnsi="Arial" w:cs="Arial"/>
                <w:b/>
                <w:bCs/>
                <w:color w:val="404040" w:themeColor="text1" w:themeTint="BF"/>
                <w:sz w:val="18"/>
                <w:szCs w:val="18"/>
              </w:rPr>
              <w:t>Capability</w:t>
            </w:r>
          </w:p>
        </w:tc>
        <w:tc>
          <w:tcPr>
            <w:tcW w:w="4148" w:type="dxa"/>
            <w:shd w:val="clear" w:color="auto" w:fill="D0CECE" w:themeFill="background2" w:themeFillShade="E6"/>
          </w:tcPr>
          <w:p w14:paraId="580CF6BB" w14:textId="3B2DA866" w:rsidR="00531F5F" w:rsidRPr="00160F91" w:rsidRDefault="00531F5F" w:rsidP="00F94E92">
            <w:pPr>
              <w:autoSpaceDE w:val="0"/>
              <w:autoSpaceDN w:val="0"/>
              <w:adjustRightInd w:val="0"/>
              <w:rPr>
                <w:rFonts w:ascii="Arial" w:hAnsi="Arial" w:cs="Arial"/>
                <w:b/>
                <w:bCs/>
                <w:color w:val="404040" w:themeColor="text1" w:themeTint="BF"/>
                <w:sz w:val="18"/>
                <w:szCs w:val="18"/>
              </w:rPr>
            </w:pPr>
            <w:r w:rsidRPr="00160F91">
              <w:rPr>
                <w:rFonts w:ascii="Arial" w:hAnsi="Arial" w:cs="Arial"/>
                <w:b/>
                <w:bCs/>
                <w:color w:val="404040" w:themeColor="text1" w:themeTint="BF"/>
                <w:sz w:val="18"/>
                <w:szCs w:val="18"/>
              </w:rPr>
              <w:t>Related interview themes</w:t>
            </w:r>
          </w:p>
        </w:tc>
      </w:tr>
      <w:tr w:rsidR="00531F5F" w14:paraId="7DF16159" w14:textId="77777777" w:rsidTr="00531F5F">
        <w:tc>
          <w:tcPr>
            <w:tcW w:w="4148" w:type="dxa"/>
          </w:tcPr>
          <w:p w14:paraId="4B807D38" w14:textId="6ED6D077" w:rsidR="00531F5F" w:rsidRPr="00160F91" w:rsidRDefault="00531F5F" w:rsidP="00160F91">
            <w:pPr>
              <w:pStyle w:val="ListParagraph"/>
              <w:numPr>
                <w:ilvl w:val="0"/>
                <w:numId w:val="10"/>
              </w:numPr>
              <w:autoSpaceDE w:val="0"/>
              <w:autoSpaceDN w:val="0"/>
              <w:adjustRightInd w:val="0"/>
              <w:ind w:left="306" w:hanging="284"/>
              <w:rPr>
                <w:rFonts w:ascii="Arial" w:hAnsi="Arial" w:cs="Arial"/>
                <w:b/>
                <w:bCs/>
                <w:color w:val="404040" w:themeColor="text1" w:themeTint="BF"/>
                <w:sz w:val="18"/>
                <w:szCs w:val="18"/>
              </w:rPr>
            </w:pPr>
            <w:r w:rsidRPr="00160F91">
              <w:rPr>
                <w:rFonts w:ascii="Arial" w:hAnsi="Arial" w:cs="Arial"/>
                <w:b/>
                <w:bCs/>
                <w:color w:val="404040" w:themeColor="text1" w:themeTint="BF"/>
                <w:sz w:val="18"/>
                <w:szCs w:val="18"/>
              </w:rPr>
              <w:t>Use long term, foresighted reasoning, especially</w:t>
            </w:r>
            <w:r w:rsidR="00160F91" w:rsidRPr="00160F91">
              <w:rPr>
                <w:rFonts w:ascii="Arial" w:hAnsi="Arial" w:cs="Arial"/>
                <w:b/>
                <w:bCs/>
                <w:color w:val="404040" w:themeColor="text1" w:themeTint="BF"/>
                <w:sz w:val="18"/>
                <w:szCs w:val="18"/>
              </w:rPr>
              <w:t xml:space="preserve"> </w:t>
            </w:r>
            <w:r w:rsidRPr="00160F91">
              <w:rPr>
                <w:rFonts w:ascii="Arial" w:hAnsi="Arial" w:cs="Arial"/>
                <w:b/>
                <w:bCs/>
                <w:color w:val="404040" w:themeColor="text1" w:themeTint="BF"/>
                <w:sz w:val="18"/>
                <w:szCs w:val="18"/>
              </w:rPr>
              <w:t>in the face of uncertainty</w:t>
            </w:r>
          </w:p>
        </w:tc>
        <w:tc>
          <w:tcPr>
            <w:tcW w:w="4148" w:type="dxa"/>
          </w:tcPr>
          <w:p w14:paraId="6B6E98BE" w14:textId="77777777"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Imagining worst case outcomes</w:t>
            </w:r>
          </w:p>
          <w:p w14:paraId="0CE69821" w14:textId="31F29C4A"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Choosing with the long term in mind</w:t>
            </w:r>
          </w:p>
          <w:p w14:paraId="1B509859" w14:textId="368854E2"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Dealing with uncertainty</w:t>
            </w:r>
          </w:p>
        </w:tc>
      </w:tr>
      <w:tr w:rsidR="00531F5F" w14:paraId="256D01E1" w14:textId="77777777" w:rsidTr="00531F5F">
        <w:tc>
          <w:tcPr>
            <w:tcW w:w="4148" w:type="dxa"/>
          </w:tcPr>
          <w:p w14:paraId="30309D6D" w14:textId="0CDD242D" w:rsidR="00531F5F" w:rsidRPr="00160F91" w:rsidRDefault="00531F5F" w:rsidP="00160F91">
            <w:pPr>
              <w:pStyle w:val="ListParagraph"/>
              <w:numPr>
                <w:ilvl w:val="0"/>
                <w:numId w:val="10"/>
              </w:numPr>
              <w:autoSpaceDE w:val="0"/>
              <w:autoSpaceDN w:val="0"/>
              <w:adjustRightInd w:val="0"/>
              <w:ind w:left="306" w:hanging="284"/>
              <w:rPr>
                <w:rFonts w:ascii="Arial" w:hAnsi="Arial" w:cs="Arial"/>
                <w:b/>
                <w:bCs/>
                <w:color w:val="404040" w:themeColor="text1" w:themeTint="BF"/>
                <w:sz w:val="18"/>
                <w:szCs w:val="18"/>
              </w:rPr>
            </w:pPr>
            <w:r w:rsidRPr="00160F91">
              <w:rPr>
                <w:rFonts w:ascii="Arial" w:hAnsi="Arial" w:cs="Arial"/>
                <w:b/>
                <w:bCs/>
                <w:color w:val="404040" w:themeColor="text1" w:themeTint="BF"/>
                <w:sz w:val="18"/>
                <w:szCs w:val="18"/>
              </w:rPr>
              <w:t>Understand norms and values that inform actions</w:t>
            </w:r>
          </w:p>
        </w:tc>
        <w:tc>
          <w:tcPr>
            <w:tcW w:w="4148" w:type="dxa"/>
          </w:tcPr>
          <w:p w14:paraId="5774ABB2" w14:textId="77777777"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Using standards</w:t>
            </w:r>
          </w:p>
          <w:p w14:paraId="46F3C44F" w14:textId="77777777"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Understanding risk processes and concepts</w:t>
            </w:r>
          </w:p>
          <w:p w14:paraId="54142F72" w14:textId="6FEBDFC0"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Making ethical choices</w:t>
            </w:r>
          </w:p>
        </w:tc>
      </w:tr>
      <w:tr w:rsidR="00531F5F" w14:paraId="12267DDC" w14:textId="77777777" w:rsidTr="00531F5F">
        <w:tc>
          <w:tcPr>
            <w:tcW w:w="4148" w:type="dxa"/>
          </w:tcPr>
          <w:p w14:paraId="61EDE9EE" w14:textId="642DFCEE" w:rsidR="00531F5F" w:rsidRPr="00160F91" w:rsidRDefault="00531F5F" w:rsidP="00160F91">
            <w:pPr>
              <w:pStyle w:val="ListParagraph"/>
              <w:numPr>
                <w:ilvl w:val="0"/>
                <w:numId w:val="10"/>
              </w:numPr>
              <w:autoSpaceDE w:val="0"/>
              <w:autoSpaceDN w:val="0"/>
              <w:adjustRightInd w:val="0"/>
              <w:ind w:left="306" w:hanging="284"/>
              <w:rPr>
                <w:rFonts w:ascii="Arial" w:hAnsi="Arial" w:cs="Arial"/>
                <w:b/>
                <w:bCs/>
                <w:color w:val="404040" w:themeColor="text1" w:themeTint="BF"/>
                <w:sz w:val="18"/>
                <w:szCs w:val="18"/>
              </w:rPr>
            </w:pPr>
            <w:r w:rsidRPr="00160F91">
              <w:rPr>
                <w:rFonts w:ascii="Arial" w:hAnsi="Arial" w:cs="Arial"/>
                <w:b/>
                <w:bCs/>
                <w:color w:val="404040" w:themeColor="text1" w:themeTint="BF"/>
                <w:sz w:val="18"/>
                <w:szCs w:val="18"/>
              </w:rPr>
              <w:lastRenderedPageBreak/>
              <w:t>Think systematically and understand</w:t>
            </w:r>
            <w:r w:rsidR="00160F91" w:rsidRPr="00160F91">
              <w:rPr>
                <w:rFonts w:ascii="Arial" w:hAnsi="Arial" w:cs="Arial"/>
                <w:b/>
                <w:bCs/>
                <w:color w:val="404040" w:themeColor="text1" w:themeTint="BF"/>
                <w:sz w:val="18"/>
                <w:szCs w:val="18"/>
              </w:rPr>
              <w:t xml:space="preserve"> </w:t>
            </w:r>
            <w:r w:rsidRPr="00160F91">
              <w:rPr>
                <w:rFonts w:ascii="Arial" w:hAnsi="Arial" w:cs="Arial"/>
                <w:b/>
                <w:bCs/>
                <w:color w:val="404040" w:themeColor="text1" w:themeTint="BF"/>
                <w:sz w:val="18"/>
                <w:szCs w:val="18"/>
              </w:rPr>
              <w:t>interconnectedness</w:t>
            </w:r>
          </w:p>
        </w:tc>
        <w:tc>
          <w:tcPr>
            <w:tcW w:w="4148" w:type="dxa"/>
          </w:tcPr>
          <w:p w14:paraId="1C54D211" w14:textId="77777777"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Understanding context</w:t>
            </w:r>
          </w:p>
          <w:p w14:paraId="7D0BA166" w14:textId="15435846"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Prioritising actions in complex situations</w:t>
            </w:r>
          </w:p>
          <w:p w14:paraId="423BD458" w14:textId="75A55D2D"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Applying risk concepts</w:t>
            </w:r>
          </w:p>
          <w:p w14:paraId="7F343D74" w14:textId="333B296D"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Taking enough time</w:t>
            </w:r>
          </w:p>
        </w:tc>
      </w:tr>
      <w:tr w:rsidR="00531F5F" w14:paraId="63F0B9B6" w14:textId="77777777" w:rsidTr="00531F5F">
        <w:tc>
          <w:tcPr>
            <w:tcW w:w="4148" w:type="dxa"/>
          </w:tcPr>
          <w:p w14:paraId="69B717FE" w14:textId="53C10EBB" w:rsidR="00531F5F" w:rsidRPr="00160F91" w:rsidRDefault="00531F5F" w:rsidP="00160F91">
            <w:pPr>
              <w:pStyle w:val="ListParagraph"/>
              <w:numPr>
                <w:ilvl w:val="0"/>
                <w:numId w:val="10"/>
              </w:numPr>
              <w:autoSpaceDE w:val="0"/>
              <w:autoSpaceDN w:val="0"/>
              <w:adjustRightInd w:val="0"/>
              <w:ind w:left="306" w:hanging="284"/>
              <w:rPr>
                <w:rFonts w:ascii="Arial" w:hAnsi="Arial" w:cs="Arial"/>
                <w:b/>
                <w:bCs/>
                <w:color w:val="404040" w:themeColor="text1" w:themeTint="BF"/>
                <w:sz w:val="18"/>
                <w:szCs w:val="18"/>
              </w:rPr>
            </w:pPr>
            <w:r w:rsidRPr="00160F91">
              <w:rPr>
                <w:rFonts w:ascii="Arial" w:hAnsi="Arial" w:cs="Arial"/>
                <w:b/>
                <w:bCs/>
                <w:color w:val="404040" w:themeColor="text1" w:themeTint="BF"/>
                <w:sz w:val="18"/>
                <w:szCs w:val="18"/>
              </w:rPr>
              <w:t>Collaborate with and draw on the experience of</w:t>
            </w:r>
            <w:r w:rsidR="00160F91" w:rsidRPr="00160F91">
              <w:rPr>
                <w:rFonts w:ascii="Arial" w:hAnsi="Arial" w:cs="Arial"/>
                <w:b/>
                <w:bCs/>
                <w:color w:val="404040" w:themeColor="text1" w:themeTint="BF"/>
                <w:sz w:val="18"/>
                <w:szCs w:val="18"/>
              </w:rPr>
              <w:t xml:space="preserve"> </w:t>
            </w:r>
            <w:r w:rsidRPr="00160F91">
              <w:rPr>
                <w:rFonts w:ascii="Arial" w:hAnsi="Arial" w:cs="Arial"/>
                <w:b/>
                <w:bCs/>
                <w:color w:val="404040" w:themeColor="text1" w:themeTint="BF"/>
                <w:sz w:val="18"/>
                <w:szCs w:val="18"/>
              </w:rPr>
              <w:t>others</w:t>
            </w:r>
          </w:p>
        </w:tc>
        <w:tc>
          <w:tcPr>
            <w:tcW w:w="4148" w:type="dxa"/>
          </w:tcPr>
          <w:p w14:paraId="3C3A6500" w14:textId="77777777"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 xml:space="preserve">Build networks or seek others’ </w:t>
            </w:r>
            <w:proofErr w:type="gramStart"/>
            <w:r w:rsidRPr="00160F91">
              <w:rPr>
                <w:rFonts w:ascii="Arial" w:hAnsi="Arial" w:cs="Arial"/>
                <w:color w:val="404040" w:themeColor="text1" w:themeTint="BF"/>
                <w:sz w:val="18"/>
                <w:szCs w:val="18"/>
              </w:rPr>
              <w:t>opinions</w:t>
            </w:r>
            <w:proofErr w:type="gramEnd"/>
          </w:p>
          <w:p w14:paraId="5821E92A" w14:textId="274187C5"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Knowing your limitations</w:t>
            </w:r>
          </w:p>
          <w:p w14:paraId="27FAE453" w14:textId="2F5FCD77"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Building a good relationship with field people</w:t>
            </w:r>
          </w:p>
          <w:p w14:paraId="30205885" w14:textId="5ED4D958" w:rsidR="00531F5F" w:rsidRPr="00160F91" w:rsidRDefault="00531F5F"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Building external stakeholder relationships</w:t>
            </w:r>
          </w:p>
        </w:tc>
      </w:tr>
      <w:tr w:rsidR="00531F5F" w14:paraId="05554AF3" w14:textId="77777777" w:rsidTr="00531F5F">
        <w:tc>
          <w:tcPr>
            <w:tcW w:w="4148" w:type="dxa"/>
          </w:tcPr>
          <w:p w14:paraId="25115B54" w14:textId="61D128EC" w:rsidR="00531F5F" w:rsidRPr="00160F91" w:rsidRDefault="00531F5F" w:rsidP="00160F91">
            <w:pPr>
              <w:pStyle w:val="ListParagraph"/>
              <w:numPr>
                <w:ilvl w:val="0"/>
                <w:numId w:val="10"/>
              </w:numPr>
              <w:autoSpaceDE w:val="0"/>
              <w:autoSpaceDN w:val="0"/>
              <w:adjustRightInd w:val="0"/>
              <w:ind w:left="306" w:hanging="284"/>
              <w:rPr>
                <w:rFonts w:ascii="Arial" w:hAnsi="Arial" w:cs="Arial"/>
                <w:b/>
                <w:bCs/>
                <w:color w:val="404040" w:themeColor="text1" w:themeTint="BF"/>
                <w:sz w:val="18"/>
                <w:szCs w:val="18"/>
              </w:rPr>
            </w:pPr>
            <w:r w:rsidRPr="00160F91">
              <w:rPr>
                <w:rFonts w:ascii="Arial" w:hAnsi="Arial" w:cs="Arial"/>
                <w:b/>
                <w:bCs/>
                <w:color w:val="404040" w:themeColor="text1" w:themeTint="BF"/>
                <w:sz w:val="18"/>
                <w:szCs w:val="18"/>
              </w:rPr>
              <w:t>Ground decisions in reality</w:t>
            </w:r>
          </w:p>
        </w:tc>
        <w:tc>
          <w:tcPr>
            <w:tcW w:w="4148" w:type="dxa"/>
          </w:tcPr>
          <w:p w14:paraId="248353ED" w14:textId="77777777" w:rsidR="00160F91" w:rsidRPr="00160F91" w:rsidRDefault="00160F91"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Making practical choices</w:t>
            </w:r>
          </w:p>
          <w:p w14:paraId="0EE68888" w14:textId="77777777" w:rsidR="00160F91" w:rsidRPr="00160F91" w:rsidRDefault="00160F91"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Learning from small failures</w:t>
            </w:r>
          </w:p>
          <w:p w14:paraId="244677EC" w14:textId="77777777" w:rsidR="00160F91" w:rsidRPr="00160F91" w:rsidRDefault="00160F91"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 xml:space="preserve">Be sceptical of models and </w:t>
            </w:r>
            <w:proofErr w:type="gramStart"/>
            <w:r w:rsidRPr="00160F91">
              <w:rPr>
                <w:rFonts w:ascii="Arial" w:hAnsi="Arial" w:cs="Arial"/>
                <w:color w:val="404040" w:themeColor="text1" w:themeTint="BF"/>
                <w:sz w:val="18"/>
                <w:szCs w:val="18"/>
              </w:rPr>
              <w:t>calculations</w:t>
            </w:r>
            <w:proofErr w:type="gramEnd"/>
          </w:p>
          <w:p w14:paraId="25E961AF" w14:textId="3E737186" w:rsidR="00531F5F" w:rsidRPr="00160F91" w:rsidRDefault="00160F91"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Imagine being there</w:t>
            </w:r>
          </w:p>
        </w:tc>
      </w:tr>
      <w:tr w:rsidR="00531F5F" w14:paraId="6645BEDE" w14:textId="77777777" w:rsidTr="00531F5F">
        <w:tc>
          <w:tcPr>
            <w:tcW w:w="4148" w:type="dxa"/>
          </w:tcPr>
          <w:p w14:paraId="3428ED9F" w14:textId="6D1D074E" w:rsidR="00531F5F" w:rsidRPr="00160F91" w:rsidRDefault="00531F5F" w:rsidP="00160F91">
            <w:pPr>
              <w:pStyle w:val="ListParagraph"/>
              <w:numPr>
                <w:ilvl w:val="0"/>
                <w:numId w:val="10"/>
              </w:numPr>
              <w:autoSpaceDE w:val="0"/>
              <w:autoSpaceDN w:val="0"/>
              <w:adjustRightInd w:val="0"/>
              <w:ind w:left="306" w:hanging="284"/>
              <w:rPr>
                <w:rFonts w:ascii="Arial" w:hAnsi="Arial" w:cs="Arial"/>
                <w:b/>
                <w:bCs/>
                <w:color w:val="404040" w:themeColor="text1" w:themeTint="BF"/>
                <w:sz w:val="18"/>
                <w:szCs w:val="18"/>
              </w:rPr>
            </w:pPr>
            <w:r w:rsidRPr="00160F91">
              <w:rPr>
                <w:rFonts w:ascii="Arial" w:hAnsi="Arial" w:cs="Arial"/>
                <w:b/>
                <w:bCs/>
                <w:color w:val="404040" w:themeColor="text1" w:themeTint="BF"/>
                <w:sz w:val="18"/>
                <w:szCs w:val="18"/>
              </w:rPr>
              <w:t>Advocate for action and take responsibility</w:t>
            </w:r>
          </w:p>
        </w:tc>
        <w:tc>
          <w:tcPr>
            <w:tcW w:w="4148" w:type="dxa"/>
          </w:tcPr>
          <w:p w14:paraId="41DF5C83" w14:textId="77777777" w:rsidR="00160F91" w:rsidRPr="00160F91" w:rsidRDefault="00160F91"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Influencing senior management and clients</w:t>
            </w:r>
          </w:p>
          <w:p w14:paraId="2130C016" w14:textId="09634F21" w:rsidR="00531F5F" w:rsidRPr="00160F91" w:rsidRDefault="00160F91" w:rsidP="00160F91">
            <w:pPr>
              <w:pStyle w:val="ListParagraph"/>
              <w:numPr>
                <w:ilvl w:val="0"/>
                <w:numId w:val="11"/>
              </w:numPr>
              <w:autoSpaceDE w:val="0"/>
              <w:autoSpaceDN w:val="0"/>
              <w:adjustRightInd w:val="0"/>
              <w:ind w:left="277" w:hanging="277"/>
              <w:rPr>
                <w:rFonts w:ascii="Arial" w:hAnsi="Arial" w:cs="Arial"/>
                <w:color w:val="404040" w:themeColor="text1" w:themeTint="BF"/>
                <w:sz w:val="18"/>
                <w:szCs w:val="18"/>
              </w:rPr>
            </w:pPr>
            <w:r w:rsidRPr="00160F91">
              <w:rPr>
                <w:rFonts w:ascii="Arial" w:hAnsi="Arial" w:cs="Arial"/>
                <w:color w:val="404040" w:themeColor="text1" w:themeTint="BF"/>
                <w:sz w:val="18"/>
                <w:szCs w:val="18"/>
              </w:rPr>
              <w:t>Standing up for public safety</w:t>
            </w:r>
          </w:p>
        </w:tc>
      </w:tr>
    </w:tbl>
    <w:p w14:paraId="47511B9D" w14:textId="0D9D3C9E" w:rsidR="00531F5F" w:rsidRDefault="00531F5F" w:rsidP="00F94E92">
      <w:pPr>
        <w:autoSpaceDE w:val="0"/>
        <w:autoSpaceDN w:val="0"/>
        <w:adjustRightInd w:val="0"/>
        <w:rPr>
          <w:rFonts w:ascii="Arial" w:hAnsi="Arial" w:cs="Arial"/>
          <w:color w:val="404040" w:themeColor="text1" w:themeTint="BF"/>
          <w:sz w:val="18"/>
          <w:szCs w:val="18"/>
        </w:rPr>
      </w:pPr>
    </w:p>
    <w:p w14:paraId="59E77BF7" w14:textId="274F5C99" w:rsidR="00DC0432" w:rsidRDefault="00DC0432" w:rsidP="00172F87">
      <w:pPr>
        <w:autoSpaceDE w:val="0"/>
        <w:autoSpaceDN w:val="0"/>
        <w:adjustRightInd w:val="0"/>
        <w:spacing w:line="240" w:lineRule="auto"/>
        <w:rPr>
          <w:rFonts w:ascii="ArialMT" w:hAnsi="ArialMT" w:cs="ArialMT"/>
          <w:sz w:val="18"/>
          <w:szCs w:val="18"/>
        </w:rPr>
      </w:pPr>
      <w:r>
        <w:rPr>
          <w:rFonts w:ascii="ArialMT" w:hAnsi="ArialMT" w:cs="ArialMT"/>
          <w:sz w:val="18"/>
          <w:szCs w:val="18"/>
        </w:rPr>
        <w:t>Additionally, the final project report details the project’s key conclusions regarding:</w:t>
      </w:r>
    </w:p>
    <w:p w14:paraId="0E9A4F77" w14:textId="7861ADB2" w:rsidR="00172F87" w:rsidRDefault="009B3F75" w:rsidP="009B3F75">
      <w:pPr>
        <w:pStyle w:val="ListParagraph"/>
        <w:numPr>
          <w:ilvl w:val="0"/>
          <w:numId w:val="14"/>
        </w:numPr>
        <w:autoSpaceDE w:val="0"/>
        <w:autoSpaceDN w:val="0"/>
        <w:adjustRightInd w:val="0"/>
        <w:spacing w:after="0" w:line="240" w:lineRule="auto"/>
        <w:rPr>
          <w:rFonts w:ascii="ArialMT" w:hAnsi="ArialMT" w:cs="ArialMT"/>
          <w:sz w:val="18"/>
          <w:szCs w:val="18"/>
        </w:rPr>
      </w:pPr>
      <w:r w:rsidRPr="009B3F75">
        <w:rPr>
          <w:rFonts w:ascii="ArialMT" w:hAnsi="ArialMT" w:cs="ArialMT"/>
          <w:sz w:val="18"/>
          <w:szCs w:val="18"/>
        </w:rPr>
        <w:t xml:space="preserve">The </w:t>
      </w:r>
      <w:r w:rsidRPr="00AA3743">
        <w:rPr>
          <w:rFonts w:ascii="ArialMT" w:hAnsi="ArialMT" w:cs="ArialMT"/>
          <w:b/>
          <w:bCs/>
          <w:sz w:val="18"/>
          <w:szCs w:val="18"/>
        </w:rPr>
        <w:t>educational approach</w:t>
      </w:r>
      <w:r w:rsidRPr="009B3F75">
        <w:rPr>
          <w:rFonts w:ascii="ArialMT" w:hAnsi="ArialMT" w:cs="ArialMT"/>
          <w:sz w:val="18"/>
          <w:szCs w:val="18"/>
        </w:rPr>
        <w:t xml:space="preserve"> that forms the foundation of the </w:t>
      </w:r>
      <w:r>
        <w:rPr>
          <w:rFonts w:ascii="ArialMT" w:hAnsi="ArialMT" w:cs="ArialMT"/>
          <w:sz w:val="18"/>
          <w:szCs w:val="18"/>
        </w:rPr>
        <w:t xml:space="preserve">proposed </w:t>
      </w:r>
      <w:r w:rsidRPr="009B3F75">
        <w:rPr>
          <w:rFonts w:ascii="ArialMT" w:hAnsi="ArialMT" w:cs="ArialMT"/>
          <w:sz w:val="18"/>
          <w:szCs w:val="18"/>
        </w:rPr>
        <w:t>learning</w:t>
      </w:r>
      <w:r>
        <w:rPr>
          <w:rFonts w:ascii="ArialMT" w:hAnsi="ArialMT" w:cs="ArialMT"/>
          <w:sz w:val="18"/>
          <w:szCs w:val="18"/>
        </w:rPr>
        <w:t xml:space="preserve"> </w:t>
      </w:r>
      <w:r w:rsidRPr="009B3F75">
        <w:rPr>
          <w:rFonts w:ascii="ArialMT" w:hAnsi="ArialMT" w:cs="ArialMT"/>
          <w:sz w:val="18"/>
          <w:szCs w:val="18"/>
        </w:rPr>
        <w:t>modules</w:t>
      </w:r>
      <w:r>
        <w:rPr>
          <w:rFonts w:ascii="ArialMT" w:hAnsi="ArialMT" w:cs="ArialMT"/>
          <w:sz w:val="18"/>
          <w:szCs w:val="18"/>
        </w:rPr>
        <w:t xml:space="preserve">, drawing on </w:t>
      </w:r>
      <w:r w:rsidRPr="00172F87">
        <w:rPr>
          <w:rFonts w:ascii="ArialMT" w:hAnsi="ArialMT" w:cs="ArialMT"/>
          <w:sz w:val="18"/>
          <w:szCs w:val="18"/>
        </w:rPr>
        <w:t xml:space="preserve">theory of education and </w:t>
      </w:r>
      <w:r w:rsidR="00172F87">
        <w:rPr>
          <w:rFonts w:ascii="ArialMT" w:hAnsi="ArialMT" w:cs="ArialMT"/>
          <w:sz w:val="18"/>
          <w:szCs w:val="18"/>
        </w:rPr>
        <w:t xml:space="preserve">the </w:t>
      </w:r>
      <w:r w:rsidRPr="00172F87">
        <w:rPr>
          <w:rFonts w:ascii="ArialMT" w:hAnsi="ArialMT" w:cs="ArialMT"/>
          <w:sz w:val="18"/>
          <w:szCs w:val="18"/>
        </w:rPr>
        <w:t xml:space="preserve">interview </w:t>
      </w:r>
      <w:proofErr w:type="gramStart"/>
      <w:r w:rsidRPr="00172F87">
        <w:rPr>
          <w:rFonts w:ascii="ArialMT" w:hAnsi="ArialMT" w:cs="ArialMT"/>
          <w:sz w:val="18"/>
          <w:szCs w:val="18"/>
        </w:rPr>
        <w:t>data</w:t>
      </w:r>
      <w:r w:rsidR="0099002B">
        <w:rPr>
          <w:rFonts w:ascii="ArialMT" w:hAnsi="ArialMT" w:cs="ArialMT"/>
          <w:sz w:val="18"/>
          <w:szCs w:val="18"/>
        </w:rPr>
        <w:t>;</w:t>
      </w:r>
      <w:proofErr w:type="gramEnd"/>
    </w:p>
    <w:p w14:paraId="1C0A3D05" w14:textId="4BB8455D" w:rsidR="00172F87" w:rsidRDefault="00172F87" w:rsidP="00172F87">
      <w:pPr>
        <w:pStyle w:val="ListParagraph"/>
        <w:numPr>
          <w:ilvl w:val="0"/>
          <w:numId w:val="14"/>
        </w:numPr>
        <w:autoSpaceDE w:val="0"/>
        <w:autoSpaceDN w:val="0"/>
        <w:adjustRightInd w:val="0"/>
        <w:spacing w:after="0" w:line="240" w:lineRule="auto"/>
        <w:rPr>
          <w:rFonts w:ascii="ArialMT" w:hAnsi="ArialMT" w:cs="ArialMT"/>
          <w:sz w:val="18"/>
          <w:szCs w:val="18"/>
        </w:rPr>
      </w:pPr>
      <w:r w:rsidRPr="00AA3743">
        <w:rPr>
          <w:rFonts w:ascii="ArialMT" w:hAnsi="ArialMT" w:cs="ArialMT"/>
          <w:b/>
          <w:bCs/>
          <w:sz w:val="18"/>
          <w:szCs w:val="18"/>
        </w:rPr>
        <w:t>Learning activities that are suitable for developing the identified capabilities, learning objectives, and outcomes</w:t>
      </w:r>
      <w:r w:rsidRPr="00172F87">
        <w:rPr>
          <w:rFonts w:ascii="ArialMT" w:hAnsi="ArialMT" w:cs="ArialMT"/>
          <w:sz w:val="18"/>
          <w:szCs w:val="18"/>
        </w:rPr>
        <w:t xml:space="preserve"> (in this work experiential case-based learning is the focus). Different approaches to</w:t>
      </w:r>
      <w:r>
        <w:rPr>
          <w:rFonts w:ascii="ArialMT" w:hAnsi="ArialMT" w:cs="ArialMT"/>
          <w:sz w:val="18"/>
          <w:szCs w:val="18"/>
        </w:rPr>
        <w:t xml:space="preserve"> </w:t>
      </w:r>
      <w:proofErr w:type="gramStart"/>
      <w:r w:rsidRPr="00172F87">
        <w:rPr>
          <w:rFonts w:ascii="ArialMT" w:hAnsi="ArialMT" w:cs="ArialMT"/>
          <w:sz w:val="18"/>
          <w:szCs w:val="18"/>
        </w:rPr>
        <w:t>case based</w:t>
      </w:r>
      <w:proofErr w:type="gramEnd"/>
      <w:r w:rsidRPr="00172F87">
        <w:rPr>
          <w:rFonts w:ascii="ArialMT" w:hAnsi="ArialMT" w:cs="ArialMT"/>
          <w:sz w:val="18"/>
          <w:szCs w:val="18"/>
        </w:rPr>
        <w:t xml:space="preserve"> learning</w:t>
      </w:r>
      <w:r>
        <w:rPr>
          <w:rFonts w:ascii="ArialMT" w:hAnsi="ArialMT" w:cs="ArialMT"/>
          <w:sz w:val="18"/>
          <w:szCs w:val="18"/>
        </w:rPr>
        <w:t xml:space="preserve"> are noted and reviewed – e.g. </w:t>
      </w:r>
      <w:r w:rsidRPr="00172F87">
        <w:rPr>
          <w:rFonts w:ascii="ArialMT" w:hAnsi="ArialMT" w:cs="ArialMT"/>
          <w:sz w:val="18"/>
          <w:szCs w:val="18"/>
        </w:rPr>
        <w:t>role</w:t>
      </w:r>
      <w:r>
        <w:rPr>
          <w:rFonts w:ascii="ArialMT" w:hAnsi="ArialMT" w:cs="ArialMT"/>
          <w:sz w:val="18"/>
          <w:szCs w:val="18"/>
        </w:rPr>
        <w:t xml:space="preserve"> </w:t>
      </w:r>
      <w:r w:rsidRPr="00172F87">
        <w:rPr>
          <w:rFonts w:ascii="ArialMT" w:hAnsi="ArialMT" w:cs="ArialMT"/>
          <w:sz w:val="18"/>
          <w:szCs w:val="18"/>
        </w:rPr>
        <w:t>play, simulation, game building, group-based</w:t>
      </w:r>
      <w:r>
        <w:rPr>
          <w:rFonts w:ascii="ArialMT" w:hAnsi="ArialMT" w:cs="ArialMT"/>
          <w:sz w:val="18"/>
          <w:szCs w:val="18"/>
        </w:rPr>
        <w:t xml:space="preserve"> </w:t>
      </w:r>
      <w:r w:rsidRPr="00172F87">
        <w:rPr>
          <w:rFonts w:ascii="ArialMT" w:hAnsi="ArialMT" w:cs="ArialMT"/>
          <w:sz w:val="18"/>
          <w:szCs w:val="18"/>
        </w:rPr>
        <w:t>reasoning, and film and live performance</w:t>
      </w:r>
      <w:r w:rsidR="0099002B">
        <w:rPr>
          <w:rFonts w:ascii="ArialMT" w:hAnsi="ArialMT" w:cs="ArialMT"/>
          <w:sz w:val="18"/>
          <w:szCs w:val="18"/>
        </w:rPr>
        <w:t>; and</w:t>
      </w:r>
    </w:p>
    <w:p w14:paraId="0A2DE0ED" w14:textId="0F8532AB" w:rsidR="00B340EA" w:rsidRDefault="00B340EA" w:rsidP="00B340EA">
      <w:pPr>
        <w:pStyle w:val="ListParagraph"/>
        <w:numPr>
          <w:ilvl w:val="0"/>
          <w:numId w:val="14"/>
        </w:numPr>
        <w:autoSpaceDE w:val="0"/>
        <w:autoSpaceDN w:val="0"/>
        <w:adjustRightInd w:val="0"/>
        <w:spacing w:after="0" w:line="240" w:lineRule="auto"/>
        <w:rPr>
          <w:rFonts w:ascii="ArialMT" w:hAnsi="ArialMT" w:cs="ArialMT"/>
          <w:sz w:val="18"/>
          <w:szCs w:val="18"/>
        </w:rPr>
      </w:pPr>
      <w:r w:rsidRPr="00AA3743">
        <w:rPr>
          <w:rFonts w:ascii="ArialMT" w:hAnsi="ArialMT" w:cs="ArialMT"/>
          <w:b/>
          <w:bCs/>
          <w:sz w:val="18"/>
          <w:szCs w:val="18"/>
        </w:rPr>
        <w:t>Appropriate content material for the modules</w:t>
      </w:r>
      <w:r>
        <w:rPr>
          <w:rFonts w:ascii="ArialMT" w:hAnsi="ArialMT" w:cs="ArialMT"/>
          <w:sz w:val="18"/>
          <w:szCs w:val="18"/>
        </w:rPr>
        <w:t xml:space="preserve"> (past accident cases)</w:t>
      </w:r>
      <w:r w:rsidR="00C82791">
        <w:rPr>
          <w:rFonts w:ascii="ArialMT" w:hAnsi="ArialMT" w:cs="ArialMT"/>
          <w:sz w:val="18"/>
          <w:szCs w:val="18"/>
        </w:rPr>
        <w:t>.</w:t>
      </w:r>
    </w:p>
    <w:p w14:paraId="4CEF6F33" w14:textId="77777777" w:rsidR="00B340EA" w:rsidRDefault="00B340EA" w:rsidP="00B340EA">
      <w:pPr>
        <w:autoSpaceDE w:val="0"/>
        <w:autoSpaceDN w:val="0"/>
        <w:adjustRightInd w:val="0"/>
        <w:spacing w:after="0" w:line="240" w:lineRule="auto"/>
        <w:rPr>
          <w:rFonts w:ascii="ArialMT" w:hAnsi="ArialMT" w:cs="ArialMT"/>
          <w:sz w:val="18"/>
          <w:szCs w:val="18"/>
        </w:rPr>
      </w:pPr>
    </w:p>
    <w:p w14:paraId="20608438" w14:textId="74B76D72" w:rsidR="00DC0432" w:rsidRDefault="00DC0432" w:rsidP="00172F87">
      <w:pPr>
        <w:autoSpaceDE w:val="0"/>
        <w:autoSpaceDN w:val="0"/>
        <w:adjustRightInd w:val="0"/>
        <w:spacing w:after="0" w:line="240" w:lineRule="auto"/>
        <w:rPr>
          <w:rFonts w:ascii="ArialMT" w:hAnsi="ArialMT" w:cs="ArialMT"/>
          <w:sz w:val="18"/>
          <w:szCs w:val="18"/>
        </w:rPr>
      </w:pPr>
      <w:r>
        <w:rPr>
          <w:rFonts w:ascii="ArialMT" w:hAnsi="ArialMT" w:cs="ArialMT"/>
          <w:sz w:val="18"/>
          <w:szCs w:val="18"/>
        </w:rPr>
        <w:t>Different case pairs were identified</w:t>
      </w:r>
      <w:r w:rsidR="00B340EA">
        <w:rPr>
          <w:rFonts w:ascii="ArialMT" w:hAnsi="ArialMT" w:cs="ArialMT"/>
          <w:sz w:val="18"/>
          <w:szCs w:val="18"/>
        </w:rPr>
        <w:t xml:space="preserve">/prioritised </w:t>
      </w:r>
      <w:r>
        <w:rPr>
          <w:rFonts w:ascii="ArialMT" w:hAnsi="ArialMT" w:cs="ArialMT"/>
          <w:sz w:val="18"/>
          <w:szCs w:val="18"/>
        </w:rPr>
        <w:t>for different target</w:t>
      </w:r>
      <w:r w:rsidR="00B340EA">
        <w:rPr>
          <w:rFonts w:ascii="ArialMT" w:hAnsi="ArialMT" w:cs="ArialMT"/>
          <w:sz w:val="18"/>
          <w:szCs w:val="18"/>
        </w:rPr>
        <w:t xml:space="preserve">ed </w:t>
      </w:r>
      <w:r>
        <w:rPr>
          <w:rFonts w:ascii="ArialMT" w:hAnsi="ArialMT" w:cs="ArialMT"/>
          <w:sz w:val="18"/>
          <w:szCs w:val="18"/>
        </w:rPr>
        <w:t>training participants:</w:t>
      </w:r>
    </w:p>
    <w:p w14:paraId="01147AA9" w14:textId="12FFA1D7" w:rsidR="00EE71F9" w:rsidRDefault="00BF3E66" w:rsidP="000157DF">
      <w:pPr>
        <w:pStyle w:val="ListParagraph"/>
        <w:numPr>
          <w:ilvl w:val="0"/>
          <w:numId w:val="12"/>
        </w:numPr>
        <w:autoSpaceDE w:val="0"/>
        <w:autoSpaceDN w:val="0"/>
        <w:adjustRightInd w:val="0"/>
        <w:spacing w:after="0" w:line="240" w:lineRule="auto"/>
        <w:rPr>
          <w:rFonts w:ascii="ArialMT" w:hAnsi="ArialMT" w:cs="ArialMT"/>
          <w:sz w:val="18"/>
          <w:szCs w:val="18"/>
        </w:rPr>
      </w:pPr>
      <w:r>
        <w:rPr>
          <w:rFonts w:ascii="ArialMT" w:hAnsi="ArialMT" w:cs="ArialMT"/>
          <w:sz w:val="18"/>
          <w:szCs w:val="18"/>
        </w:rPr>
        <w:t>F</w:t>
      </w:r>
      <w:r w:rsidR="000157DF" w:rsidRPr="00BF3E66">
        <w:rPr>
          <w:rFonts w:ascii="ArialMT" w:hAnsi="ArialMT" w:cs="ArialMT"/>
          <w:sz w:val="18"/>
          <w:szCs w:val="18"/>
        </w:rPr>
        <w:t xml:space="preserve">or </w:t>
      </w:r>
      <w:r w:rsidR="000157DF" w:rsidRPr="00AA3743">
        <w:rPr>
          <w:rFonts w:ascii="ArialMT" w:hAnsi="ArialMT" w:cs="ArialMT"/>
          <w:i/>
          <w:iCs/>
          <w:sz w:val="18"/>
          <w:szCs w:val="18"/>
        </w:rPr>
        <w:t>transmission</w:t>
      </w:r>
      <w:r w:rsidR="000157DF" w:rsidRPr="00BF3E66">
        <w:rPr>
          <w:rFonts w:ascii="ArialMT" w:hAnsi="ArialMT" w:cs="ArialMT"/>
          <w:sz w:val="18"/>
          <w:szCs w:val="18"/>
        </w:rPr>
        <w:t xml:space="preserve"> </w:t>
      </w:r>
      <w:r w:rsidR="000157DF" w:rsidRPr="00AA3743">
        <w:rPr>
          <w:rFonts w:ascii="ArialMT" w:hAnsi="ArialMT" w:cs="ArialMT"/>
          <w:i/>
          <w:iCs/>
          <w:sz w:val="18"/>
          <w:szCs w:val="18"/>
        </w:rPr>
        <w:t>pipeline</w:t>
      </w:r>
      <w:r w:rsidR="000157DF" w:rsidRPr="00BF3E66">
        <w:rPr>
          <w:rFonts w:ascii="ArialMT" w:hAnsi="ArialMT" w:cs="ArialMT"/>
          <w:sz w:val="18"/>
          <w:szCs w:val="18"/>
        </w:rPr>
        <w:t xml:space="preserve"> engineers a combination of the San Bruno disaster and the Challenger space shuttle loss provide a pair of cases that cover all capabilities and include one case from the sector and one from a very different sector</w:t>
      </w:r>
      <w:r w:rsidR="0099002B">
        <w:rPr>
          <w:rFonts w:ascii="ArialMT" w:hAnsi="ArialMT" w:cs="ArialMT"/>
          <w:sz w:val="18"/>
          <w:szCs w:val="18"/>
        </w:rPr>
        <w:t>; and</w:t>
      </w:r>
    </w:p>
    <w:p w14:paraId="176A72D2" w14:textId="2BA78CD4" w:rsidR="00EE71F9" w:rsidRDefault="000157DF" w:rsidP="000157DF">
      <w:pPr>
        <w:pStyle w:val="ListParagraph"/>
        <w:numPr>
          <w:ilvl w:val="0"/>
          <w:numId w:val="12"/>
        </w:numPr>
        <w:autoSpaceDE w:val="0"/>
        <w:autoSpaceDN w:val="0"/>
        <w:adjustRightInd w:val="0"/>
        <w:spacing w:after="0" w:line="240" w:lineRule="auto"/>
        <w:rPr>
          <w:rFonts w:ascii="ArialMT" w:hAnsi="ArialMT" w:cs="ArialMT"/>
          <w:sz w:val="18"/>
          <w:szCs w:val="18"/>
        </w:rPr>
      </w:pPr>
      <w:r w:rsidRPr="00EE71F9">
        <w:rPr>
          <w:rFonts w:ascii="ArialMT" w:hAnsi="ArialMT" w:cs="ArialMT"/>
          <w:sz w:val="18"/>
          <w:szCs w:val="18"/>
        </w:rPr>
        <w:t xml:space="preserve">For </w:t>
      </w:r>
      <w:r w:rsidRPr="00AA3743">
        <w:rPr>
          <w:rFonts w:ascii="ArialMT" w:hAnsi="ArialMT" w:cs="ArialMT"/>
          <w:i/>
          <w:iCs/>
          <w:sz w:val="18"/>
          <w:szCs w:val="18"/>
        </w:rPr>
        <w:t>distribution sector</w:t>
      </w:r>
      <w:r w:rsidRPr="00EE71F9">
        <w:rPr>
          <w:rFonts w:ascii="ArialMT" w:hAnsi="ArialMT" w:cs="ArialMT"/>
          <w:sz w:val="18"/>
          <w:szCs w:val="18"/>
        </w:rPr>
        <w:t xml:space="preserve"> engineers, a similar pair of cases are the Massachusetts gas distribution system failure and the Dreamworld accident. Again</w:t>
      </w:r>
      <w:r w:rsidR="00C82791">
        <w:rPr>
          <w:rFonts w:ascii="ArialMT" w:hAnsi="ArialMT" w:cs="ArialMT"/>
          <w:sz w:val="18"/>
          <w:szCs w:val="18"/>
        </w:rPr>
        <w:t>,</w:t>
      </w:r>
      <w:r w:rsidRPr="00EE71F9">
        <w:rPr>
          <w:rFonts w:ascii="ArialMT" w:hAnsi="ArialMT" w:cs="ArialMT"/>
          <w:sz w:val="18"/>
          <w:szCs w:val="18"/>
        </w:rPr>
        <w:t xml:space="preserve"> these cases cover all capabilities between them and include one case with familiar technology and one that is from a different sector.</w:t>
      </w:r>
    </w:p>
    <w:p w14:paraId="7AE7E342" w14:textId="43C71E29" w:rsidR="000157DF" w:rsidRDefault="000157DF" w:rsidP="000157DF">
      <w:pPr>
        <w:autoSpaceDE w:val="0"/>
        <w:autoSpaceDN w:val="0"/>
        <w:adjustRightInd w:val="0"/>
        <w:spacing w:after="0" w:line="240" w:lineRule="auto"/>
        <w:rPr>
          <w:rFonts w:ascii="ArialMT" w:hAnsi="ArialMT" w:cs="ArialMT"/>
          <w:color w:val="404040" w:themeColor="text1" w:themeTint="BF"/>
          <w:sz w:val="18"/>
          <w:szCs w:val="18"/>
        </w:rPr>
      </w:pPr>
    </w:p>
    <w:p w14:paraId="48DCF358" w14:textId="50358EE5" w:rsidR="00143170" w:rsidRDefault="00143170" w:rsidP="00172F87">
      <w:pPr>
        <w:autoSpaceDE w:val="0"/>
        <w:autoSpaceDN w:val="0"/>
        <w:adjustRightInd w:val="0"/>
        <w:spacing w:line="240" w:lineRule="auto"/>
        <w:rPr>
          <w:rFonts w:ascii="ArialMT" w:hAnsi="ArialMT" w:cs="ArialMT"/>
          <w:color w:val="404040" w:themeColor="text1" w:themeTint="BF"/>
          <w:sz w:val="18"/>
          <w:szCs w:val="18"/>
        </w:rPr>
      </w:pPr>
      <w:r>
        <w:rPr>
          <w:rFonts w:ascii="ArialMT" w:hAnsi="ArialMT" w:cs="ArialMT"/>
          <w:color w:val="404040" w:themeColor="text1" w:themeTint="BF"/>
          <w:sz w:val="18"/>
          <w:szCs w:val="18"/>
        </w:rPr>
        <w:t xml:space="preserve">The following </w:t>
      </w:r>
      <w:r w:rsidR="00AA3743">
        <w:rPr>
          <w:rFonts w:ascii="ArialMT" w:hAnsi="ArialMT" w:cs="ArialMT"/>
          <w:color w:val="404040" w:themeColor="text1" w:themeTint="BF"/>
          <w:sz w:val="18"/>
          <w:szCs w:val="18"/>
        </w:rPr>
        <w:t xml:space="preserve">learning module </w:t>
      </w:r>
      <w:r>
        <w:rPr>
          <w:rFonts w:ascii="ArialMT" w:hAnsi="ArialMT" w:cs="ArialMT"/>
          <w:color w:val="404040" w:themeColor="text1" w:themeTint="BF"/>
          <w:sz w:val="18"/>
          <w:szCs w:val="18"/>
        </w:rPr>
        <w:t>options for further development were proposed (</w:t>
      </w:r>
      <w:r w:rsidR="0099002B">
        <w:rPr>
          <w:rFonts w:ascii="ArialMT" w:hAnsi="ArialMT" w:cs="ArialMT"/>
          <w:color w:val="404040" w:themeColor="text1" w:themeTint="BF"/>
          <w:sz w:val="18"/>
          <w:szCs w:val="18"/>
        </w:rPr>
        <w:t xml:space="preserve">also </w:t>
      </w:r>
      <w:r w:rsidR="00AA3743">
        <w:rPr>
          <w:rFonts w:ascii="ArialMT" w:hAnsi="ArialMT" w:cs="ArialMT"/>
          <w:color w:val="404040" w:themeColor="text1" w:themeTint="BF"/>
          <w:sz w:val="18"/>
          <w:szCs w:val="18"/>
        </w:rPr>
        <w:t xml:space="preserve">see </w:t>
      </w:r>
      <w:r w:rsidRPr="00143170">
        <w:rPr>
          <w:rFonts w:ascii="ArialMT" w:hAnsi="ArialMT" w:cs="ArialMT"/>
          <w:b/>
          <w:bCs/>
          <w:color w:val="404040" w:themeColor="text1" w:themeTint="BF"/>
          <w:sz w:val="18"/>
          <w:szCs w:val="18"/>
        </w:rPr>
        <w:t>RP2.3-07</w:t>
      </w:r>
      <w:r>
        <w:rPr>
          <w:rFonts w:ascii="ArialMT" w:hAnsi="ArialMT" w:cs="ArialMT"/>
          <w:color w:val="404040" w:themeColor="text1" w:themeTint="BF"/>
          <w:sz w:val="18"/>
          <w:szCs w:val="18"/>
        </w:rPr>
        <w:t xml:space="preserve">) </w:t>
      </w:r>
    </w:p>
    <w:p w14:paraId="4CB65C14" w14:textId="3F90DBE0" w:rsidR="00143170" w:rsidRPr="00143170" w:rsidRDefault="00143170" w:rsidP="00143170">
      <w:pPr>
        <w:pStyle w:val="ListParagraph"/>
        <w:numPr>
          <w:ilvl w:val="0"/>
          <w:numId w:val="13"/>
        </w:numPr>
        <w:autoSpaceDE w:val="0"/>
        <w:autoSpaceDN w:val="0"/>
        <w:adjustRightInd w:val="0"/>
        <w:spacing w:after="0" w:line="240" w:lineRule="auto"/>
        <w:rPr>
          <w:rFonts w:ascii="ArialMT" w:hAnsi="ArialMT" w:cs="ArialMT"/>
          <w:sz w:val="18"/>
          <w:szCs w:val="18"/>
        </w:rPr>
      </w:pPr>
      <w:r w:rsidRPr="00143170">
        <w:rPr>
          <w:rFonts w:ascii="Arial-BoldMT" w:hAnsi="Arial-BoldMT" w:cs="Arial-BoldMT"/>
          <w:b/>
          <w:bCs/>
          <w:sz w:val="18"/>
          <w:szCs w:val="18"/>
        </w:rPr>
        <w:t>Option 1a</w:t>
      </w:r>
      <w:r w:rsidRPr="00143170">
        <w:rPr>
          <w:rFonts w:ascii="Arial-BoldMT" w:hAnsi="Arial-BoldMT" w:cs="Arial-BoldMT"/>
          <w:sz w:val="18"/>
          <w:szCs w:val="18"/>
        </w:rPr>
        <w:t>:</w:t>
      </w:r>
      <w:r w:rsidRPr="00143170">
        <w:rPr>
          <w:rFonts w:ascii="Arial-BoldMT" w:hAnsi="Arial-BoldMT" w:cs="Arial-BoldMT"/>
          <w:b/>
          <w:bCs/>
          <w:sz w:val="18"/>
          <w:szCs w:val="18"/>
        </w:rPr>
        <w:t xml:space="preserve"> </w:t>
      </w:r>
      <w:r w:rsidRPr="00143170">
        <w:rPr>
          <w:rFonts w:ascii="ArialMT" w:hAnsi="ArialMT" w:cs="ArialMT"/>
          <w:sz w:val="18"/>
          <w:szCs w:val="18"/>
        </w:rPr>
        <w:t>Discussion and role play (transmission pipeline engineers)</w:t>
      </w:r>
      <w:r w:rsidR="00AA3743">
        <w:rPr>
          <w:rFonts w:ascii="ArialMT" w:hAnsi="ArialMT" w:cs="ArialMT"/>
          <w:sz w:val="18"/>
          <w:szCs w:val="18"/>
        </w:rPr>
        <w:t xml:space="preserve"> – face-to-face or online</w:t>
      </w:r>
    </w:p>
    <w:p w14:paraId="5D189B78" w14:textId="7596AA44" w:rsidR="00143170" w:rsidRPr="00143170" w:rsidRDefault="00143170" w:rsidP="00143170">
      <w:pPr>
        <w:pStyle w:val="ListParagraph"/>
        <w:numPr>
          <w:ilvl w:val="0"/>
          <w:numId w:val="13"/>
        </w:numPr>
        <w:autoSpaceDE w:val="0"/>
        <w:autoSpaceDN w:val="0"/>
        <w:adjustRightInd w:val="0"/>
        <w:spacing w:after="0" w:line="240" w:lineRule="auto"/>
        <w:rPr>
          <w:rFonts w:ascii="ArialMT" w:hAnsi="ArialMT" w:cs="ArialMT"/>
          <w:sz w:val="18"/>
          <w:szCs w:val="18"/>
        </w:rPr>
      </w:pPr>
      <w:r w:rsidRPr="00143170">
        <w:rPr>
          <w:rFonts w:ascii="Arial-BoldMT" w:hAnsi="Arial-BoldMT" w:cs="Arial-BoldMT"/>
          <w:b/>
          <w:bCs/>
          <w:sz w:val="18"/>
          <w:szCs w:val="18"/>
        </w:rPr>
        <w:t>Option 1b</w:t>
      </w:r>
      <w:r w:rsidRPr="00143170">
        <w:rPr>
          <w:rFonts w:ascii="Arial-BoldMT" w:hAnsi="Arial-BoldMT" w:cs="Arial-BoldMT"/>
          <w:sz w:val="18"/>
          <w:szCs w:val="18"/>
        </w:rPr>
        <w:t>:</w:t>
      </w:r>
      <w:r w:rsidRPr="00143170">
        <w:rPr>
          <w:rFonts w:ascii="Arial-BoldMT" w:hAnsi="Arial-BoldMT" w:cs="Arial-BoldMT"/>
          <w:b/>
          <w:bCs/>
          <w:sz w:val="18"/>
          <w:szCs w:val="18"/>
        </w:rPr>
        <w:t xml:space="preserve"> </w:t>
      </w:r>
      <w:r w:rsidRPr="00143170">
        <w:rPr>
          <w:rFonts w:ascii="ArialMT" w:hAnsi="ArialMT" w:cs="ArialMT"/>
          <w:sz w:val="18"/>
          <w:szCs w:val="18"/>
        </w:rPr>
        <w:t>Discussion and role play (distribution system engineers</w:t>
      </w:r>
      <w:r w:rsidR="00AA3743">
        <w:rPr>
          <w:rFonts w:ascii="ArialMT" w:hAnsi="ArialMT" w:cs="ArialMT"/>
          <w:sz w:val="18"/>
          <w:szCs w:val="18"/>
        </w:rPr>
        <w:t xml:space="preserve"> – face-to-face or online</w:t>
      </w:r>
    </w:p>
    <w:p w14:paraId="0459E339" w14:textId="1042DC77" w:rsidR="00143170" w:rsidRPr="00143170" w:rsidRDefault="00143170" w:rsidP="00143170">
      <w:pPr>
        <w:pStyle w:val="ListParagraph"/>
        <w:numPr>
          <w:ilvl w:val="0"/>
          <w:numId w:val="13"/>
        </w:numPr>
        <w:autoSpaceDE w:val="0"/>
        <w:autoSpaceDN w:val="0"/>
        <w:adjustRightInd w:val="0"/>
        <w:spacing w:after="0" w:line="240" w:lineRule="auto"/>
        <w:rPr>
          <w:rFonts w:ascii="ArialMT" w:hAnsi="ArialMT" w:cs="ArialMT"/>
          <w:sz w:val="18"/>
          <w:szCs w:val="18"/>
        </w:rPr>
      </w:pPr>
      <w:r w:rsidRPr="00143170">
        <w:rPr>
          <w:rFonts w:ascii="Arial-BoldMT" w:hAnsi="Arial-BoldMT" w:cs="Arial-BoldMT"/>
          <w:b/>
          <w:bCs/>
          <w:sz w:val="18"/>
          <w:szCs w:val="18"/>
        </w:rPr>
        <w:t>Option 2</w:t>
      </w:r>
      <w:r w:rsidRPr="00143170">
        <w:rPr>
          <w:rFonts w:ascii="Arial-BoldMT" w:hAnsi="Arial-BoldMT" w:cs="Arial-BoldMT"/>
          <w:sz w:val="18"/>
          <w:szCs w:val="18"/>
        </w:rPr>
        <w:t>:</w:t>
      </w:r>
      <w:r w:rsidRPr="00143170">
        <w:rPr>
          <w:rFonts w:ascii="Arial-BoldMT" w:hAnsi="Arial-BoldMT" w:cs="Arial-BoldMT"/>
          <w:b/>
          <w:bCs/>
          <w:sz w:val="18"/>
          <w:szCs w:val="18"/>
        </w:rPr>
        <w:t xml:space="preserve"> </w:t>
      </w:r>
      <w:r w:rsidRPr="00143170">
        <w:rPr>
          <w:rFonts w:ascii="ArialMT" w:hAnsi="ArialMT" w:cs="ArialMT"/>
          <w:sz w:val="18"/>
          <w:szCs w:val="18"/>
        </w:rPr>
        <w:t>The Pipeline Game - A game/simulation for groups of players (either face to face or online) to make decisions impacting safety through the lifecycle of an imaginary pipeline and see the consequences of their choices play out as the game proceeds.</w:t>
      </w:r>
    </w:p>
    <w:p w14:paraId="2B1E4844" w14:textId="77777777" w:rsidR="00143170" w:rsidRDefault="00143170" w:rsidP="000157DF">
      <w:pPr>
        <w:autoSpaceDE w:val="0"/>
        <w:autoSpaceDN w:val="0"/>
        <w:adjustRightInd w:val="0"/>
        <w:spacing w:after="0" w:line="240" w:lineRule="auto"/>
        <w:rPr>
          <w:rFonts w:ascii="ArialMT" w:hAnsi="ArialMT" w:cs="ArialMT"/>
          <w:color w:val="404040" w:themeColor="text1" w:themeTint="BF"/>
          <w:sz w:val="18"/>
          <w:szCs w:val="18"/>
        </w:rPr>
      </w:pPr>
    </w:p>
    <w:p w14:paraId="4AE1182A" w14:textId="3E20CAEA" w:rsidR="6067BEDF" w:rsidRDefault="6067BEDF" w:rsidP="1C3B124F">
      <w:pPr>
        <w:rPr>
          <w:rStyle w:val="Strong"/>
          <w:rFonts w:ascii="Arial" w:eastAsia="Arial" w:hAnsi="Arial" w:cs="Arial"/>
          <w:color w:val="404040" w:themeColor="text1" w:themeTint="BF"/>
          <w:sz w:val="18"/>
          <w:szCs w:val="18"/>
        </w:rPr>
      </w:pPr>
      <w:r w:rsidRPr="1C3B124F">
        <w:rPr>
          <w:rStyle w:val="Strong"/>
          <w:rFonts w:ascii="Arial" w:eastAsia="Arial" w:hAnsi="Arial" w:cs="Arial"/>
          <w:color w:val="404040" w:themeColor="text1" w:themeTint="BF"/>
          <w:sz w:val="18"/>
          <w:szCs w:val="18"/>
        </w:rPr>
        <w:t>Acknowledgements</w:t>
      </w:r>
    </w:p>
    <w:p w14:paraId="7E15A2CC" w14:textId="080D5998" w:rsidR="00F17778" w:rsidRPr="00F17778" w:rsidRDefault="00F17778" w:rsidP="00F17778">
      <w:pPr>
        <w:autoSpaceDE w:val="0"/>
        <w:autoSpaceDN w:val="0"/>
        <w:adjustRightInd w:val="0"/>
        <w:spacing w:after="0" w:line="240" w:lineRule="auto"/>
        <w:rPr>
          <w:rFonts w:ascii="Arial" w:hAnsi="Arial" w:cs="Arial"/>
          <w:color w:val="404040" w:themeColor="text1" w:themeTint="BF"/>
          <w:sz w:val="18"/>
          <w:szCs w:val="18"/>
        </w:rPr>
      </w:pPr>
      <w:r w:rsidRPr="00F17778">
        <w:rPr>
          <w:rStyle w:val="Strong"/>
          <w:rFonts w:ascii="Arial" w:eastAsia="Arial" w:hAnsi="Arial" w:cs="Arial"/>
          <w:b w:val="0"/>
          <w:bCs w:val="0"/>
          <w:color w:val="404040" w:themeColor="text1" w:themeTint="BF"/>
          <w:sz w:val="18"/>
          <w:szCs w:val="18"/>
        </w:rPr>
        <w:t>The project was led by</w:t>
      </w:r>
      <w:r>
        <w:rPr>
          <w:rStyle w:val="Strong"/>
          <w:rFonts w:ascii="Arial" w:eastAsia="Arial" w:hAnsi="Arial" w:cs="Arial"/>
          <w:b w:val="0"/>
          <w:bCs w:val="0"/>
          <w:color w:val="404040" w:themeColor="text1" w:themeTint="BF"/>
          <w:sz w:val="18"/>
          <w:szCs w:val="18"/>
        </w:rPr>
        <w:t xml:space="preserve"> research team comprised of </w:t>
      </w:r>
      <w:r w:rsidRPr="00F17778">
        <w:rPr>
          <w:rStyle w:val="Strong"/>
          <w:rFonts w:ascii="Arial" w:eastAsia="Arial" w:hAnsi="Arial" w:cs="Arial"/>
          <w:b w:val="0"/>
          <w:bCs w:val="0"/>
          <w:color w:val="404040" w:themeColor="text1" w:themeTint="BF"/>
          <w:sz w:val="18"/>
          <w:szCs w:val="18"/>
        </w:rPr>
        <w:t>staff from RMIT (</w:t>
      </w:r>
      <w:r w:rsidRPr="00F17778">
        <w:rPr>
          <w:rFonts w:ascii="Arial" w:hAnsi="Arial" w:cs="Arial"/>
          <w:color w:val="404040" w:themeColor="text1" w:themeTint="BF"/>
          <w:sz w:val="18"/>
          <w:szCs w:val="18"/>
        </w:rPr>
        <w:t xml:space="preserve">Jan Hayes, Sarah Holdsworth, Orana Sandri, Janice Wong) and University of Canberra (Sarah Maslen), </w:t>
      </w:r>
      <w:r>
        <w:rPr>
          <w:rFonts w:ascii="Arial" w:hAnsi="Arial" w:cs="Arial"/>
          <w:color w:val="404040" w:themeColor="text1" w:themeTint="BF"/>
          <w:sz w:val="18"/>
          <w:szCs w:val="18"/>
        </w:rPr>
        <w:t xml:space="preserve">who were </w:t>
      </w:r>
      <w:r w:rsidRPr="00F17778">
        <w:rPr>
          <w:rFonts w:ascii="Arial" w:hAnsi="Arial" w:cs="Arial"/>
          <w:color w:val="404040" w:themeColor="text1" w:themeTint="BF"/>
          <w:sz w:val="18"/>
          <w:szCs w:val="18"/>
        </w:rPr>
        <w:t>support</w:t>
      </w:r>
      <w:r>
        <w:rPr>
          <w:rFonts w:ascii="Arial" w:hAnsi="Arial" w:cs="Arial"/>
          <w:color w:val="404040" w:themeColor="text1" w:themeTint="BF"/>
          <w:sz w:val="18"/>
          <w:szCs w:val="18"/>
        </w:rPr>
        <w:t xml:space="preserve">ed by </w:t>
      </w:r>
      <w:r w:rsidRPr="00F17778">
        <w:rPr>
          <w:rFonts w:ascii="Arial" w:hAnsi="Arial" w:cs="Arial"/>
          <w:color w:val="404040" w:themeColor="text1" w:themeTint="BF"/>
          <w:sz w:val="18"/>
          <w:szCs w:val="18"/>
        </w:rPr>
        <w:t xml:space="preserve">industry advisors from Sage Consulting, EPIC Energy, GPA Engineering, ESV, and </w:t>
      </w:r>
      <w:proofErr w:type="spellStart"/>
      <w:r w:rsidRPr="00F17778">
        <w:rPr>
          <w:rFonts w:ascii="Arial" w:hAnsi="Arial" w:cs="Arial"/>
          <w:color w:val="404040" w:themeColor="text1" w:themeTint="BF"/>
          <w:sz w:val="18"/>
          <w:szCs w:val="18"/>
        </w:rPr>
        <w:t>Spiecapag</w:t>
      </w:r>
      <w:proofErr w:type="spellEnd"/>
      <w:r w:rsidRPr="00F17778">
        <w:rPr>
          <w:rFonts w:ascii="Arial" w:hAnsi="Arial" w:cs="Arial"/>
          <w:color w:val="404040" w:themeColor="text1" w:themeTint="BF"/>
          <w:sz w:val="18"/>
          <w:szCs w:val="18"/>
        </w:rPr>
        <w:t>.</w:t>
      </w:r>
    </w:p>
    <w:p w14:paraId="2028788E" w14:textId="77777777" w:rsidR="00F17778" w:rsidRPr="00F17778" w:rsidRDefault="00F17778" w:rsidP="00F17778">
      <w:pPr>
        <w:autoSpaceDE w:val="0"/>
        <w:autoSpaceDN w:val="0"/>
        <w:adjustRightInd w:val="0"/>
        <w:spacing w:after="0" w:line="240" w:lineRule="auto"/>
        <w:rPr>
          <w:rStyle w:val="Strong"/>
          <w:rFonts w:ascii="Arial" w:eastAsia="Arial" w:hAnsi="Arial" w:cs="Arial"/>
          <w:b w:val="0"/>
          <w:bCs w:val="0"/>
          <w:color w:val="404040" w:themeColor="text1" w:themeTint="BF"/>
          <w:sz w:val="18"/>
          <w:szCs w:val="18"/>
        </w:rPr>
      </w:pPr>
    </w:p>
    <w:p w14:paraId="4B3EECA6" w14:textId="0DED8631" w:rsidR="50F29594" w:rsidRPr="00F17778" w:rsidRDefault="50F29594" w:rsidP="1C3B124F">
      <w:pPr>
        <w:rPr>
          <w:rStyle w:val="Strong"/>
          <w:rFonts w:ascii="Arial" w:eastAsia="Arial" w:hAnsi="Arial" w:cs="Arial"/>
          <w:b w:val="0"/>
          <w:bCs w:val="0"/>
          <w:color w:val="404040" w:themeColor="text1" w:themeTint="BF"/>
          <w:sz w:val="18"/>
          <w:szCs w:val="18"/>
        </w:rPr>
      </w:pPr>
      <w:r w:rsidRPr="00F17778">
        <w:rPr>
          <w:rStyle w:val="Strong"/>
          <w:rFonts w:ascii="Arial" w:eastAsia="Arial" w:hAnsi="Arial" w:cs="Arial"/>
          <w:b w:val="0"/>
          <w:bCs w:val="0"/>
          <w:color w:val="404040" w:themeColor="text1" w:themeTint="BF"/>
          <w:sz w:val="18"/>
          <w:szCs w:val="18"/>
        </w:rPr>
        <w:t xml:space="preserve">Future Fuels CRC is supported through the Australian Government’s Cooperative Research Centres Program. We gratefully acknowledge the cash and in-kind support from all our research, </w:t>
      </w:r>
      <w:proofErr w:type="gramStart"/>
      <w:r w:rsidRPr="00F17778">
        <w:rPr>
          <w:rStyle w:val="Strong"/>
          <w:rFonts w:ascii="Arial" w:eastAsia="Arial" w:hAnsi="Arial" w:cs="Arial"/>
          <w:b w:val="0"/>
          <w:bCs w:val="0"/>
          <w:color w:val="404040" w:themeColor="text1" w:themeTint="BF"/>
          <w:sz w:val="18"/>
          <w:szCs w:val="18"/>
        </w:rPr>
        <w:t>government</w:t>
      </w:r>
      <w:proofErr w:type="gramEnd"/>
      <w:r w:rsidRPr="00F17778">
        <w:rPr>
          <w:rStyle w:val="Strong"/>
          <w:rFonts w:ascii="Arial" w:eastAsia="Arial" w:hAnsi="Arial" w:cs="Arial"/>
          <w:b w:val="0"/>
          <w:bCs w:val="0"/>
          <w:color w:val="404040" w:themeColor="text1" w:themeTint="BF"/>
          <w:sz w:val="18"/>
          <w:szCs w:val="18"/>
        </w:rPr>
        <w:t xml:space="preserve"> and industry participants.</w:t>
      </w:r>
    </w:p>
    <w:p w14:paraId="14289DE1" w14:textId="35661B69" w:rsidR="50F29594" w:rsidRDefault="50F29594" w:rsidP="42073801">
      <w:pPr>
        <w:rPr>
          <w:rStyle w:val="Strong"/>
          <w:rFonts w:ascii="Arial" w:eastAsia="Arial" w:hAnsi="Arial" w:cs="Arial"/>
          <w:b w:val="0"/>
          <w:bCs w:val="0"/>
          <w:color w:val="404040" w:themeColor="text1" w:themeTint="BF"/>
          <w:sz w:val="18"/>
          <w:szCs w:val="18"/>
        </w:rPr>
      </w:pPr>
    </w:p>
    <w:p w14:paraId="5A39BBE3" w14:textId="638BFE8D" w:rsidR="009D2B79" w:rsidRPr="009D2B79" w:rsidRDefault="250EF543" w:rsidP="009B3F75">
      <w:pPr>
        <w:jc w:val="center"/>
        <w:rPr>
          <w:rFonts w:ascii="Arial" w:hAnsi="Arial" w:cs="Arial"/>
        </w:rPr>
      </w:pPr>
      <w:r>
        <w:rPr>
          <w:noProof/>
        </w:rPr>
        <w:drawing>
          <wp:inline distT="0" distB="0" distL="0" distR="0" wp14:anchorId="62EE048C" wp14:editId="05872226">
            <wp:extent cx="4210050" cy="719217"/>
            <wp:effectExtent l="0" t="0" r="0" b="0"/>
            <wp:docPr id="292397996" name="Picture 29239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0050" cy="719217"/>
                    </a:xfrm>
                    <a:prstGeom prst="rect">
                      <a:avLst/>
                    </a:prstGeom>
                  </pic:spPr>
                </pic:pic>
              </a:graphicData>
            </a:graphic>
          </wp:inline>
        </w:drawing>
      </w:r>
    </w:p>
    <w:sectPr w:rsidR="009D2B79" w:rsidRPr="009D2B79">
      <w:headerReference w:type="even" r:id="rId13"/>
      <w:headerReference w:type="default" r:id="rId14"/>
      <w:head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34C21" w14:textId="77777777" w:rsidR="00D138E4" w:rsidRDefault="00D138E4" w:rsidP="003E717D">
      <w:pPr>
        <w:spacing w:after="0" w:line="240" w:lineRule="auto"/>
      </w:pPr>
      <w:r>
        <w:separator/>
      </w:r>
    </w:p>
  </w:endnote>
  <w:endnote w:type="continuationSeparator" w:id="0">
    <w:p w14:paraId="790FE8DB" w14:textId="77777777" w:rsidR="00D138E4" w:rsidRDefault="00D138E4" w:rsidP="003E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74156" w14:textId="77777777" w:rsidR="00D138E4" w:rsidRDefault="00D138E4" w:rsidP="003E717D">
      <w:pPr>
        <w:spacing w:after="0" w:line="240" w:lineRule="auto"/>
      </w:pPr>
      <w:r>
        <w:separator/>
      </w:r>
    </w:p>
  </w:footnote>
  <w:footnote w:type="continuationSeparator" w:id="0">
    <w:p w14:paraId="0C6310FE" w14:textId="77777777" w:rsidR="00D138E4" w:rsidRDefault="00D138E4" w:rsidP="003E717D">
      <w:pPr>
        <w:spacing w:after="0" w:line="240" w:lineRule="auto"/>
      </w:pPr>
      <w:r>
        <w:continuationSeparator/>
      </w:r>
    </w:p>
  </w:footnote>
  <w:footnote w:id="1">
    <w:p w14:paraId="5DDFBD35" w14:textId="3F77640C" w:rsidR="00F94E92" w:rsidRDefault="00F94E92">
      <w:pPr>
        <w:pStyle w:val="FootnoteText"/>
      </w:pPr>
      <w:r>
        <w:rPr>
          <w:rStyle w:val="FootnoteReference"/>
        </w:rPr>
        <w:footnoteRef/>
      </w:r>
      <w:r w:rsidR="00823770">
        <w:t xml:space="preserve"> Also s</w:t>
      </w:r>
      <w:r>
        <w:t xml:space="preserve">ee </w:t>
      </w:r>
      <w:hyperlink r:id="rId1" w:history="1">
        <w:r w:rsidRPr="00380A0F">
          <w:rPr>
            <w:rStyle w:val="Hyperlink"/>
          </w:rPr>
          <w:t>https://link.springer.com/article/10.1007/s10111-022-00702-6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46E9" w14:textId="0E7C0F42" w:rsidR="0073747A" w:rsidRDefault="00737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8345" w14:textId="00988104" w:rsidR="0073747A" w:rsidRDefault="00737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58E0" w14:textId="01728732" w:rsidR="0073747A" w:rsidRDefault="00737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3832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7C6D62"/>
    <w:multiLevelType w:val="hybridMultilevel"/>
    <w:tmpl w:val="2DFA238E"/>
    <w:lvl w:ilvl="0" w:tplc="849260B8">
      <w:start w:val="1"/>
      <w:numFmt w:val="bullet"/>
      <w:lvlText w:val=""/>
      <w:lvlJc w:val="left"/>
      <w:pPr>
        <w:ind w:left="720" w:hanging="360"/>
      </w:pPr>
      <w:rPr>
        <w:rFonts w:ascii="Symbol" w:hAnsi="Symbol" w:hint="default"/>
      </w:rPr>
    </w:lvl>
    <w:lvl w:ilvl="1" w:tplc="F678E17C">
      <w:start w:val="1"/>
      <w:numFmt w:val="bullet"/>
      <w:lvlText w:val="o"/>
      <w:lvlJc w:val="left"/>
      <w:pPr>
        <w:ind w:left="1440" w:hanging="360"/>
      </w:pPr>
      <w:rPr>
        <w:rFonts w:ascii="Courier New" w:hAnsi="Courier New" w:hint="default"/>
      </w:rPr>
    </w:lvl>
    <w:lvl w:ilvl="2" w:tplc="DC40419C">
      <w:start w:val="1"/>
      <w:numFmt w:val="bullet"/>
      <w:lvlText w:val=""/>
      <w:lvlJc w:val="left"/>
      <w:pPr>
        <w:ind w:left="2160" w:hanging="360"/>
      </w:pPr>
      <w:rPr>
        <w:rFonts w:ascii="Wingdings" w:hAnsi="Wingdings" w:hint="default"/>
      </w:rPr>
    </w:lvl>
    <w:lvl w:ilvl="3" w:tplc="9078CA14">
      <w:start w:val="1"/>
      <w:numFmt w:val="bullet"/>
      <w:lvlText w:val=""/>
      <w:lvlJc w:val="left"/>
      <w:pPr>
        <w:ind w:left="2880" w:hanging="360"/>
      </w:pPr>
      <w:rPr>
        <w:rFonts w:ascii="Symbol" w:hAnsi="Symbol" w:hint="default"/>
      </w:rPr>
    </w:lvl>
    <w:lvl w:ilvl="4" w:tplc="E7ECD19C">
      <w:start w:val="1"/>
      <w:numFmt w:val="bullet"/>
      <w:lvlText w:val="o"/>
      <w:lvlJc w:val="left"/>
      <w:pPr>
        <w:ind w:left="3600" w:hanging="360"/>
      </w:pPr>
      <w:rPr>
        <w:rFonts w:ascii="Courier New" w:hAnsi="Courier New" w:hint="default"/>
      </w:rPr>
    </w:lvl>
    <w:lvl w:ilvl="5" w:tplc="0B0669E8">
      <w:start w:val="1"/>
      <w:numFmt w:val="bullet"/>
      <w:lvlText w:val=""/>
      <w:lvlJc w:val="left"/>
      <w:pPr>
        <w:ind w:left="4320" w:hanging="360"/>
      </w:pPr>
      <w:rPr>
        <w:rFonts w:ascii="Wingdings" w:hAnsi="Wingdings" w:hint="default"/>
      </w:rPr>
    </w:lvl>
    <w:lvl w:ilvl="6" w:tplc="6570E8F0">
      <w:start w:val="1"/>
      <w:numFmt w:val="bullet"/>
      <w:lvlText w:val=""/>
      <w:lvlJc w:val="left"/>
      <w:pPr>
        <w:ind w:left="5040" w:hanging="360"/>
      </w:pPr>
      <w:rPr>
        <w:rFonts w:ascii="Symbol" w:hAnsi="Symbol" w:hint="default"/>
      </w:rPr>
    </w:lvl>
    <w:lvl w:ilvl="7" w:tplc="EE48CB6E">
      <w:start w:val="1"/>
      <w:numFmt w:val="bullet"/>
      <w:lvlText w:val="o"/>
      <w:lvlJc w:val="left"/>
      <w:pPr>
        <w:ind w:left="5760" w:hanging="360"/>
      </w:pPr>
      <w:rPr>
        <w:rFonts w:ascii="Courier New" w:hAnsi="Courier New" w:hint="default"/>
      </w:rPr>
    </w:lvl>
    <w:lvl w:ilvl="8" w:tplc="CDB406B6">
      <w:start w:val="1"/>
      <w:numFmt w:val="bullet"/>
      <w:lvlText w:val=""/>
      <w:lvlJc w:val="left"/>
      <w:pPr>
        <w:ind w:left="6480" w:hanging="360"/>
      </w:pPr>
      <w:rPr>
        <w:rFonts w:ascii="Wingdings" w:hAnsi="Wingdings" w:hint="default"/>
      </w:rPr>
    </w:lvl>
  </w:abstractNum>
  <w:abstractNum w:abstractNumId="2" w15:restartNumberingAfterBreak="0">
    <w:nsid w:val="10786E10"/>
    <w:multiLevelType w:val="hybridMultilevel"/>
    <w:tmpl w:val="4D16B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9E5955"/>
    <w:multiLevelType w:val="hybridMultilevel"/>
    <w:tmpl w:val="BDA4E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472275"/>
    <w:multiLevelType w:val="hybridMultilevel"/>
    <w:tmpl w:val="5BFE8D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423A3F"/>
    <w:multiLevelType w:val="multilevel"/>
    <w:tmpl w:val="69CC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F3F7A"/>
    <w:multiLevelType w:val="hybridMultilevel"/>
    <w:tmpl w:val="C1EE58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CB1653F"/>
    <w:multiLevelType w:val="hybridMultilevel"/>
    <w:tmpl w:val="D0EA4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5852EF"/>
    <w:multiLevelType w:val="hybridMultilevel"/>
    <w:tmpl w:val="B0C4D246"/>
    <w:lvl w:ilvl="0" w:tplc="DB26E89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1097464"/>
    <w:multiLevelType w:val="hybridMultilevel"/>
    <w:tmpl w:val="C17A0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B014CC"/>
    <w:multiLevelType w:val="hybridMultilevel"/>
    <w:tmpl w:val="0F4AF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B05273"/>
    <w:multiLevelType w:val="hybridMultilevel"/>
    <w:tmpl w:val="BBA2E510"/>
    <w:lvl w:ilvl="0" w:tplc="3A1E0C30">
      <w:start w:val="1"/>
      <w:numFmt w:val="bullet"/>
      <w:lvlText w:val=""/>
      <w:lvlJc w:val="left"/>
      <w:pPr>
        <w:ind w:left="720" w:hanging="360"/>
      </w:pPr>
      <w:rPr>
        <w:rFonts w:ascii="Symbol" w:hAnsi="Symbol" w:hint="default"/>
      </w:rPr>
    </w:lvl>
    <w:lvl w:ilvl="1" w:tplc="DDF0DE30">
      <w:start w:val="1"/>
      <w:numFmt w:val="bullet"/>
      <w:lvlText w:val="o"/>
      <w:lvlJc w:val="left"/>
      <w:pPr>
        <w:ind w:left="1440" w:hanging="360"/>
      </w:pPr>
      <w:rPr>
        <w:rFonts w:ascii="Courier New" w:hAnsi="Courier New" w:hint="default"/>
      </w:rPr>
    </w:lvl>
    <w:lvl w:ilvl="2" w:tplc="818ECD1C">
      <w:start w:val="1"/>
      <w:numFmt w:val="bullet"/>
      <w:lvlText w:val=""/>
      <w:lvlJc w:val="left"/>
      <w:pPr>
        <w:ind w:left="2160" w:hanging="360"/>
      </w:pPr>
      <w:rPr>
        <w:rFonts w:ascii="Wingdings" w:hAnsi="Wingdings" w:hint="default"/>
      </w:rPr>
    </w:lvl>
    <w:lvl w:ilvl="3" w:tplc="2EA83B3E">
      <w:start w:val="1"/>
      <w:numFmt w:val="bullet"/>
      <w:lvlText w:val=""/>
      <w:lvlJc w:val="left"/>
      <w:pPr>
        <w:ind w:left="2880" w:hanging="360"/>
      </w:pPr>
      <w:rPr>
        <w:rFonts w:ascii="Symbol" w:hAnsi="Symbol" w:hint="default"/>
      </w:rPr>
    </w:lvl>
    <w:lvl w:ilvl="4" w:tplc="3B56ABF2">
      <w:start w:val="1"/>
      <w:numFmt w:val="bullet"/>
      <w:lvlText w:val="o"/>
      <w:lvlJc w:val="left"/>
      <w:pPr>
        <w:ind w:left="3600" w:hanging="360"/>
      </w:pPr>
      <w:rPr>
        <w:rFonts w:ascii="Courier New" w:hAnsi="Courier New" w:hint="default"/>
      </w:rPr>
    </w:lvl>
    <w:lvl w:ilvl="5" w:tplc="EAD0CFFC">
      <w:start w:val="1"/>
      <w:numFmt w:val="bullet"/>
      <w:lvlText w:val=""/>
      <w:lvlJc w:val="left"/>
      <w:pPr>
        <w:ind w:left="4320" w:hanging="360"/>
      </w:pPr>
      <w:rPr>
        <w:rFonts w:ascii="Wingdings" w:hAnsi="Wingdings" w:hint="default"/>
      </w:rPr>
    </w:lvl>
    <w:lvl w:ilvl="6" w:tplc="A9B2C46E">
      <w:start w:val="1"/>
      <w:numFmt w:val="bullet"/>
      <w:lvlText w:val=""/>
      <w:lvlJc w:val="left"/>
      <w:pPr>
        <w:ind w:left="5040" w:hanging="360"/>
      </w:pPr>
      <w:rPr>
        <w:rFonts w:ascii="Symbol" w:hAnsi="Symbol" w:hint="default"/>
      </w:rPr>
    </w:lvl>
    <w:lvl w:ilvl="7" w:tplc="21B44E2A">
      <w:start w:val="1"/>
      <w:numFmt w:val="bullet"/>
      <w:lvlText w:val="o"/>
      <w:lvlJc w:val="left"/>
      <w:pPr>
        <w:ind w:left="5760" w:hanging="360"/>
      </w:pPr>
      <w:rPr>
        <w:rFonts w:ascii="Courier New" w:hAnsi="Courier New" w:hint="default"/>
      </w:rPr>
    </w:lvl>
    <w:lvl w:ilvl="8" w:tplc="05F009D0">
      <w:start w:val="1"/>
      <w:numFmt w:val="bullet"/>
      <w:lvlText w:val=""/>
      <w:lvlJc w:val="left"/>
      <w:pPr>
        <w:ind w:left="6480" w:hanging="360"/>
      </w:pPr>
      <w:rPr>
        <w:rFonts w:ascii="Wingdings" w:hAnsi="Wingdings" w:hint="default"/>
      </w:rPr>
    </w:lvl>
  </w:abstractNum>
  <w:abstractNum w:abstractNumId="12" w15:restartNumberingAfterBreak="0">
    <w:nsid w:val="6EEE5E26"/>
    <w:multiLevelType w:val="hybridMultilevel"/>
    <w:tmpl w:val="57D04C2C"/>
    <w:lvl w:ilvl="0" w:tplc="89BEB322">
      <w:start w:val="1"/>
      <w:numFmt w:val="bullet"/>
      <w:lvlText w:val=""/>
      <w:lvlJc w:val="left"/>
      <w:pPr>
        <w:ind w:left="720" w:hanging="360"/>
      </w:pPr>
      <w:rPr>
        <w:rFonts w:ascii="Symbol" w:hAnsi="Symbol" w:hint="default"/>
      </w:rPr>
    </w:lvl>
    <w:lvl w:ilvl="1" w:tplc="9F480A34">
      <w:start w:val="1"/>
      <w:numFmt w:val="bullet"/>
      <w:lvlText w:val="o"/>
      <w:lvlJc w:val="left"/>
      <w:pPr>
        <w:ind w:left="1440" w:hanging="360"/>
      </w:pPr>
      <w:rPr>
        <w:rFonts w:ascii="Courier New" w:hAnsi="Courier New" w:hint="default"/>
      </w:rPr>
    </w:lvl>
    <w:lvl w:ilvl="2" w:tplc="D1DEE7D8">
      <w:start w:val="1"/>
      <w:numFmt w:val="bullet"/>
      <w:lvlText w:val=""/>
      <w:lvlJc w:val="left"/>
      <w:pPr>
        <w:ind w:left="2160" w:hanging="360"/>
      </w:pPr>
      <w:rPr>
        <w:rFonts w:ascii="Wingdings" w:hAnsi="Wingdings" w:hint="default"/>
      </w:rPr>
    </w:lvl>
    <w:lvl w:ilvl="3" w:tplc="068A4E42">
      <w:start w:val="1"/>
      <w:numFmt w:val="bullet"/>
      <w:lvlText w:val=""/>
      <w:lvlJc w:val="left"/>
      <w:pPr>
        <w:ind w:left="2880" w:hanging="360"/>
      </w:pPr>
      <w:rPr>
        <w:rFonts w:ascii="Symbol" w:hAnsi="Symbol" w:hint="default"/>
      </w:rPr>
    </w:lvl>
    <w:lvl w:ilvl="4" w:tplc="A72483B6">
      <w:start w:val="1"/>
      <w:numFmt w:val="bullet"/>
      <w:lvlText w:val="o"/>
      <w:lvlJc w:val="left"/>
      <w:pPr>
        <w:ind w:left="3600" w:hanging="360"/>
      </w:pPr>
      <w:rPr>
        <w:rFonts w:ascii="Courier New" w:hAnsi="Courier New" w:hint="default"/>
      </w:rPr>
    </w:lvl>
    <w:lvl w:ilvl="5" w:tplc="7CF8B2C2">
      <w:start w:val="1"/>
      <w:numFmt w:val="bullet"/>
      <w:lvlText w:val=""/>
      <w:lvlJc w:val="left"/>
      <w:pPr>
        <w:ind w:left="4320" w:hanging="360"/>
      </w:pPr>
      <w:rPr>
        <w:rFonts w:ascii="Wingdings" w:hAnsi="Wingdings" w:hint="default"/>
      </w:rPr>
    </w:lvl>
    <w:lvl w:ilvl="6" w:tplc="2880197E">
      <w:start w:val="1"/>
      <w:numFmt w:val="bullet"/>
      <w:lvlText w:val=""/>
      <w:lvlJc w:val="left"/>
      <w:pPr>
        <w:ind w:left="5040" w:hanging="360"/>
      </w:pPr>
      <w:rPr>
        <w:rFonts w:ascii="Symbol" w:hAnsi="Symbol" w:hint="default"/>
      </w:rPr>
    </w:lvl>
    <w:lvl w:ilvl="7" w:tplc="429CC4EC">
      <w:start w:val="1"/>
      <w:numFmt w:val="bullet"/>
      <w:lvlText w:val="o"/>
      <w:lvlJc w:val="left"/>
      <w:pPr>
        <w:ind w:left="5760" w:hanging="360"/>
      </w:pPr>
      <w:rPr>
        <w:rFonts w:ascii="Courier New" w:hAnsi="Courier New" w:hint="default"/>
      </w:rPr>
    </w:lvl>
    <w:lvl w:ilvl="8" w:tplc="124EAD56">
      <w:start w:val="1"/>
      <w:numFmt w:val="bullet"/>
      <w:lvlText w:val=""/>
      <w:lvlJc w:val="left"/>
      <w:pPr>
        <w:ind w:left="6480" w:hanging="360"/>
      </w:pPr>
      <w:rPr>
        <w:rFonts w:ascii="Wingdings" w:hAnsi="Wingdings" w:hint="default"/>
      </w:rPr>
    </w:lvl>
  </w:abstractNum>
  <w:abstractNum w:abstractNumId="13" w15:restartNumberingAfterBreak="0">
    <w:nsid w:val="7AA61129"/>
    <w:multiLevelType w:val="hybridMultilevel"/>
    <w:tmpl w:val="199E1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8523969">
    <w:abstractNumId w:val="1"/>
  </w:num>
  <w:num w:numId="2" w16cid:durableId="469901451">
    <w:abstractNumId w:val="11"/>
  </w:num>
  <w:num w:numId="3" w16cid:durableId="2110154654">
    <w:abstractNumId w:val="12"/>
  </w:num>
  <w:num w:numId="4" w16cid:durableId="1627855887">
    <w:abstractNumId w:val="5"/>
  </w:num>
  <w:num w:numId="5" w16cid:durableId="158008637">
    <w:abstractNumId w:val="10"/>
  </w:num>
  <w:num w:numId="6" w16cid:durableId="323826832">
    <w:abstractNumId w:val="8"/>
  </w:num>
  <w:num w:numId="7" w16cid:durableId="465664742">
    <w:abstractNumId w:val="0"/>
  </w:num>
  <w:num w:numId="8" w16cid:durableId="1081564880">
    <w:abstractNumId w:val="2"/>
  </w:num>
  <w:num w:numId="9" w16cid:durableId="450560467">
    <w:abstractNumId w:val="6"/>
  </w:num>
  <w:num w:numId="10" w16cid:durableId="917791414">
    <w:abstractNumId w:val="4"/>
  </w:num>
  <w:num w:numId="11" w16cid:durableId="831676776">
    <w:abstractNumId w:val="3"/>
  </w:num>
  <w:num w:numId="12" w16cid:durableId="258876284">
    <w:abstractNumId w:val="13"/>
  </w:num>
  <w:num w:numId="13" w16cid:durableId="100882075">
    <w:abstractNumId w:val="7"/>
  </w:num>
  <w:num w:numId="14" w16cid:durableId="1938751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WwNLMwMjcyNTY0MDJR0lEKTi0uzszPAykwrAUAGHDtVSwAAAA="/>
  </w:docVars>
  <w:rsids>
    <w:rsidRoot w:val="00FE1D4B"/>
    <w:rsid w:val="000157DF"/>
    <w:rsid w:val="00142A24"/>
    <w:rsid w:val="00143170"/>
    <w:rsid w:val="00160F91"/>
    <w:rsid w:val="00172F87"/>
    <w:rsid w:val="00226C70"/>
    <w:rsid w:val="002B1B52"/>
    <w:rsid w:val="00336CE3"/>
    <w:rsid w:val="003813A9"/>
    <w:rsid w:val="00386864"/>
    <w:rsid w:val="003D4586"/>
    <w:rsid w:val="003D654D"/>
    <w:rsid w:val="003E717D"/>
    <w:rsid w:val="004B035A"/>
    <w:rsid w:val="004F2138"/>
    <w:rsid w:val="00531F5F"/>
    <w:rsid w:val="00581FDA"/>
    <w:rsid w:val="005C465A"/>
    <w:rsid w:val="005E4D0E"/>
    <w:rsid w:val="006060B2"/>
    <w:rsid w:val="00613B70"/>
    <w:rsid w:val="00664AD9"/>
    <w:rsid w:val="00682B09"/>
    <w:rsid w:val="00736761"/>
    <w:rsid w:val="0073747A"/>
    <w:rsid w:val="00764CCA"/>
    <w:rsid w:val="007A44A3"/>
    <w:rsid w:val="00823770"/>
    <w:rsid w:val="008344AA"/>
    <w:rsid w:val="00851C4E"/>
    <w:rsid w:val="00854F71"/>
    <w:rsid w:val="00866278"/>
    <w:rsid w:val="009552AF"/>
    <w:rsid w:val="0099002B"/>
    <w:rsid w:val="009B3F75"/>
    <w:rsid w:val="009D2B79"/>
    <w:rsid w:val="00A80153"/>
    <w:rsid w:val="00AA3743"/>
    <w:rsid w:val="00AC2710"/>
    <w:rsid w:val="00B340EA"/>
    <w:rsid w:val="00B87D59"/>
    <w:rsid w:val="00BF3E66"/>
    <w:rsid w:val="00BF3F2E"/>
    <w:rsid w:val="00C23221"/>
    <w:rsid w:val="00C27F68"/>
    <w:rsid w:val="00C82791"/>
    <w:rsid w:val="00D138E4"/>
    <w:rsid w:val="00D313AD"/>
    <w:rsid w:val="00DC0432"/>
    <w:rsid w:val="00DF30B8"/>
    <w:rsid w:val="00E07042"/>
    <w:rsid w:val="00E1039B"/>
    <w:rsid w:val="00E20E68"/>
    <w:rsid w:val="00EE71F9"/>
    <w:rsid w:val="00EF0896"/>
    <w:rsid w:val="00EF50C0"/>
    <w:rsid w:val="00F17778"/>
    <w:rsid w:val="00F61929"/>
    <w:rsid w:val="00F94E92"/>
    <w:rsid w:val="00FE1D4B"/>
    <w:rsid w:val="03C3C6E3"/>
    <w:rsid w:val="04D6EFA0"/>
    <w:rsid w:val="05788BD5"/>
    <w:rsid w:val="05E0038B"/>
    <w:rsid w:val="08606BE7"/>
    <w:rsid w:val="0A199863"/>
    <w:rsid w:val="0AFB341E"/>
    <w:rsid w:val="0C98A95E"/>
    <w:rsid w:val="0CEC4B6E"/>
    <w:rsid w:val="0D04ED7F"/>
    <w:rsid w:val="0EC7AA6F"/>
    <w:rsid w:val="0ED42096"/>
    <w:rsid w:val="110DA704"/>
    <w:rsid w:val="11386BBB"/>
    <w:rsid w:val="11A69434"/>
    <w:rsid w:val="121F083A"/>
    <w:rsid w:val="125C03A4"/>
    <w:rsid w:val="12B12838"/>
    <w:rsid w:val="13F25F89"/>
    <w:rsid w:val="157E9907"/>
    <w:rsid w:val="16AB21F3"/>
    <w:rsid w:val="17640DD6"/>
    <w:rsid w:val="17B55727"/>
    <w:rsid w:val="194719FC"/>
    <w:rsid w:val="1B3A9949"/>
    <w:rsid w:val="1C3B124F"/>
    <w:rsid w:val="2071B78F"/>
    <w:rsid w:val="2188B9C3"/>
    <w:rsid w:val="22B07AF1"/>
    <w:rsid w:val="22B1AE5A"/>
    <w:rsid w:val="244C4B52"/>
    <w:rsid w:val="246890EE"/>
    <w:rsid w:val="24E6E25D"/>
    <w:rsid w:val="250EF543"/>
    <w:rsid w:val="25AAAFBF"/>
    <w:rsid w:val="26C4E67C"/>
    <w:rsid w:val="27304A04"/>
    <w:rsid w:val="2783EC14"/>
    <w:rsid w:val="279BA331"/>
    <w:rsid w:val="27C6F3AB"/>
    <w:rsid w:val="29B15CBD"/>
    <w:rsid w:val="2B69E2EB"/>
    <w:rsid w:val="2D13D903"/>
    <w:rsid w:val="2EB3AA72"/>
    <w:rsid w:val="2FBB0594"/>
    <w:rsid w:val="303B9374"/>
    <w:rsid w:val="3132BBE0"/>
    <w:rsid w:val="317C6700"/>
    <w:rsid w:val="3184BDC5"/>
    <w:rsid w:val="3188077D"/>
    <w:rsid w:val="330CF5D3"/>
    <w:rsid w:val="357FE174"/>
    <w:rsid w:val="374F4BF9"/>
    <w:rsid w:val="392D811E"/>
    <w:rsid w:val="39832400"/>
    <w:rsid w:val="39C76890"/>
    <w:rsid w:val="3A818E4F"/>
    <w:rsid w:val="3B9B0807"/>
    <w:rsid w:val="3D674BF4"/>
    <w:rsid w:val="3DD0E87A"/>
    <w:rsid w:val="3DF8168B"/>
    <w:rsid w:val="3E6A3872"/>
    <w:rsid w:val="405A1AAA"/>
    <w:rsid w:val="42073801"/>
    <w:rsid w:val="43B75D1B"/>
    <w:rsid w:val="44305EB7"/>
    <w:rsid w:val="44BABBD4"/>
    <w:rsid w:val="46C6CB96"/>
    <w:rsid w:val="47E2C0D0"/>
    <w:rsid w:val="483DDBEC"/>
    <w:rsid w:val="486A1943"/>
    <w:rsid w:val="488C94A6"/>
    <w:rsid w:val="4934BE3E"/>
    <w:rsid w:val="4BE0B114"/>
    <w:rsid w:val="4DA94391"/>
    <w:rsid w:val="4ED11976"/>
    <w:rsid w:val="4F0AEFED"/>
    <w:rsid w:val="50F29594"/>
    <w:rsid w:val="522DD134"/>
    <w:rsid w:val="53D9117E"/>
    <w:rsid w:val="555EA866"/>
    <w:rsid w:val="569A4598"/>
    <w:rsid w:val="57C7F4A2"/>
    <w:rsid w:val="5B5F47AE"/>
    <w:rsid w:val="5DDAB369"/>
    <w:rsid w:val="5ED8F398"/>
    <w:rsid w:val="5F105027"/>
    <w:rsid w:val="6067BEDF"/>
    <w:rsid w:val="6101E461"/>
    <w:rsid w:val="6226C46D"/>
    <w:rsid w:val="62369977"/>
    <w:rsid w:val="62AC4E99"/>
    <w:rsid w:val="635E1F80"/>
    <w:rsid w:val="63AF0FB2"/>
    <w:rsid w:val="6C65F217"/>
    <w:rsid w:val="6C7A2F94"/>
    <w:rsid w:val="6D7FCD08"/>
    <w:rsid w:val="6DC8EE1B"/>
    <w:rsid w:val="6FA60EBE"/>
    <w:rsid w:val="6FB53D62"/>
    <w:rsid w:val="72E0C5F8"/>
    <w:rsid w:val="734987F5"/>
    <w:rsid w:val="7369E451"/>
    <w:rsid w:val="74743BBB"/>
    <w:rsid w:val="764B879A"/>
    <w:rsid w:val="787CB267"/>
    <w:rsid w:val="7D1A00CE"/>
    <w:rsid w:val="7E9D71C4"/>
    <w:rsid w:val="7ECB56B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27716"/>
  <w15:chartTrackingRefBased/>
  <w15:docId w15:val="{F56FFE01-638E-4FC3-A6E3-B4CA5114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0B8"/>
    <w:rPr>
      <w:color w:val="0000FF"/>
      <w:u w:val="single"/>
    </w:rPr>
  </w:style>
  <w:style w:type="character" w:styleId="Strong">
    <w:name w:val="Strong"/>
    <w:basedOn w:val="DefaultParagraphFont"/>
    <w:uiPriority w:val="22"/>
    <w:qFormat/>
    <w:rsid w:val="009D2B79"/>
    <w:rPr>
      <w:b/>
      <w:bCs/>
    </w:rPr>
  </w:style>
  <w:style w:type="paragraph" w:styleId="ListParagraph">
    <w:name w:val="List Paragraph"/>
    <w:basedOn w:val="Normal"/>
    <w:uiPriority w:val="34"/>
    <w:qFormat/>
    <w:rsid w:val="00226C70"/>
    <w:pPr>
      <w:ind w:left="720"/>
      <w:contextualSpacing/>
    </w:pPr>
  </w:style>
  <w:style w:type="paragraph" w:styleId="Header">
    <w:name w:val="header"/>
    <w:basedOn w:val="Normal"/>
    <w:link w:val="HeaderChar"/>
    <w:uiPriority w:val="99"/>
    <w:unhideWhenUsed/>
    <w:rsid w:val="003E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17D"/>
  </w:style>
  <w:style w:type="paragraph" w:styleId="Footer">
    <w:name w:val="footer"/>
    <w:basedOn w:val="Normal"/>
    <w:link w:val="FooterChar"/>
    <w:uiPriority w:val="99"/>
    <w:unhideWhenUsed/>
    <w:rsid w:val="003E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17D"/>
  </w:style>
  <w:style w:type="paragraph" w:customStyle="1" w:styleId="Default">
    <w:name w:val="Default"/>
    <w:rsid w:val="002B1B5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F94E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E92"/>
    <w:rPr>
      <w:sz w:val="20"/>
      <w:szCs w:val="20"/>
    </w:rPr>
  </w:style>
  <w:style w:type="character" w:styleId="FootnoteReference">
    <w:name w:val="footnote reference"/>
    <w:basedOn w:val="DefaultParagraphFont"/>
    <w:uiPriority w:val="99"/>
    <w:semiHidden/>
    <w:unhideWhenUsed/>
    <w:rsid w:val="00F94E92"/>
    <w:rPr>
      <w:vertAlign w:val="superscript"/>
    </w:rPr>
  </w:style>
  <w:style w:type="character" w:styleId="UnresolvedMention">
    <w:name w:val="Unresolved Mention"/>
    <w:basedOn w:val="DefaultParagraphFont"/>
    <w:uiPriority w:val="99"/>
    <w:semiHidden/>
    <w:unhideWhenUsed/>
    <w:rsid w:val="00F94E92"/>
    <w:rPr>
      <w:color w:val="605E5C"/>
      <w:shd w:val="clear" w:color="auto" w:fill="E1DFDD"/>
    </w:rPr>
  </w:style>
  <w:style w:type="table" w:styleId="TableGrid">
    <w:name w:val="Table Grid"/>
    <w:basedOn w:val="TableNormal"/>
    <w:uiPriority w:val="39"/>
    <w:rsid w:val="00531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3770"/>
    <w:pPr>
      <w:spacing w:after="0" w:line="240" w:lineRule="auto"/>
    </w:pPr>
  </w:style>
  <w:style w:type="character" w:styleId="FollowedHyperlink">
    <w:name w:val="FollowedHyperlink"/>
    <w:basedOn w:val="DefaultParagraphFont"/>
    <w:uiPriority w:val="99"/>
    <w:semiHidden/>
    <w:unhideWhenUsed/>
    <w:rsid w:val="00EF50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826245">
      <w:bodyDiv w:val="1"/>
      <w:marLeft w:val="0"/>
      <w:marRight w:val="0"/>
      <w:marTop w:val="0"/>
      <w:marBottom w:val="0"/>
      <w:divBdr>
        <w:top w:val="none" w:sz="0" w:space="0" w:color="auto"/>
        <w:left w:val="none" w:sz="0" w:space="0" w:color="auto"/>
        <w:bottom w:val="none" w:sz="0" w:space="0" w:color="auto"/>
        <w:right w:val="none" w:sz="0" w:space="0" w:color="auto"/>
      </w:divBdr>
      <w:divsChild>
        <w:div w:id="1449813839">
          <w:marLeft w:val="-225"/>
          <w:marRight w:val="-225"/>
          <w:marTop w:val="0"/>
          <w:marBottom w:val="0"/>
          <w:divBdr>
            <w:top w:val="none" w:sz="0" w:space="0" w:color="auto"/>
            <w:left w:val="none" w:sz="0" w:space="0" w:color="auto"/>
            <w:bottom w:val="none" w:sz="0" w:space="0" w:color="auto"/>
            <w:right w:val="none" w:sz="0" w:space="0" w:color="auto"/>
          </w:divBdr>
          <w:divsChild>
            <w:div w:id="297802105">
              <w:marLeft w:val="0"/>
              <w:marRight w:val="0"/>
              <w:marTop w:val="0"/>
              <w:marBottom w:val="0"/>
              <w:divBdr>
                <w:top w:val="none" w:sz="0" w:space="0" w:color="auto"/>
                <w:left w:val="none" w:sz="0" w:space="0" w:color="auto"/>
                <w:bottom w:val="none" w:sz="0" w:space="0" w:color="auto"/>
                <w:right w:val="none" w:sz="0" w:space="0" w:color="auto"/>
              </w:divBdr>
              <w:divsChild>
                <w:div w:id="133067181">
                  <w:marLeft w:val="0"/>
                  <w:marRight w:val="0"/>
                  <w:marTop w:val="0"/>
                  <w:marBottom w:val="0"/>
                  <w:divBdr>
                    <w:top w:val="none" w:sz="0" w:space="0" w:color="auto"/>
                    <w:left w:val="none" w:sz="0" w:space="0" w:color="auto"/>
                    <w:bottom w:val="none" w:sz="0" w:space="0" w:color="auto"/>
                    <w:right w:val="none" w:sz="0" w:space="0" w:color="auto"/>
                  </w:divBdr>
                  <w:divsChild>
                    <w:div w:id="1914926509">
                      <w:marLeft w:val="0"/>
                      <w:marRight w:val="0"/>
                      <w:marTop w:val="0"/>
                      <w:marBottom w:val="0"/>
                      <w:divBdr>
                        <w:top w:val="none" w:sz="0" w:space="0" w:color="auto"/>
                        <w:left w:val="none" w:sz="0" w:space="0" w:color="auto"/>
                        <w:bottom w:val="none" w:sz="0" w:space="0" w:color="auto"/>
                        <w:right w:val="none" w:sz="0" w:space="0" w:color="auto"/>
                      </w:divBdr>
                      <w:divsChild>
                        <w:div w:id="1217669356">
                          <w:marLeft w:val="0"/>
                          <w:marRight w:val="0"/>
                          <w:marTop w:val="0"/>
                          <w:marBottom w:val="0"/>
                          <w:divBdr>
                            <w:top w:val="none" w:sz="0" w:space="0" w:color="auto"/>
                            <w:left w:val="none" w:sz="0" w:space="0" w:color="auto"/>
                            <w:bottom w:val="none" w:sz="0" w:space="0" w:color="auto"/>
                            <w:right w:val="none" w:sz="0" w:space="0" w:color="auto"/>
                          </w:divBdr>
                          <w:divsChild>
                            <w:div w:id="1519660757">
                              <w:marLeft w:val="0"/>
                              <w:marRight w:val="0"/>
                              <w:marTop w:val="0"/>
                              <w:marBottom w:val="0"/>
                              <w:divBdr>
                                <w:top w:val="none" w:sz="0" w:space="0" w:color="auto"/>
                                <w:left w:val="none" w:sz="0" w:space="0" w:color="auto"/>
                                <w:bottom w:val="none" w:sz="0" w:space="0" w:color="auto"/>
                                <w:right w:val="none" w:sz="0" w:space="0" w:color="auto"/>
                              </w:divBdr>
                              <w:divsChild>
                                <w:div w:id="5434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790906">
          <w:marLeft w:val="-225"/>
          <w:marRight w:val="-225"/>
          <w:marTop w:val="0"/>
          <w:marBottom w:val="0"/>
          <w:divBdr>
            <w:top w:val="none" w:sz="0" w:space="0" w:color="auto"/>
            <w:left w:val="none" w:sz="0" w:space="0" w:color="auto"/>
            <w:bottom w:val="none" w:sz="0" w:space="0" w:color="auto"/>
            <w:right w:val="none" w:sz="0" w:space="0" w:color="auto"/>
          </w:divBdr>
          <w:divsChild>
            <w:div w:id="1536232497">
              <w:marLeft w:val="0"/>
              <w:marRight w:val="0"/>
              <w:marTop w:val="0"/>
              <w:marBottom w:val="0"/>
              <w:divBdr>
                <w:top w:val="none" w:sz="0" w:space="0" w:color="auto"/>
                <w:left w:val="none" w:sz="0" w:space="0" w:color="auto"/>
                <w:bottom w:val="none" w:sz="0" w:space="0" w:color="auto"/>
                <w:right w:val="none" w:sz="0" w:space="0" w:color="auto"/>
              </w:divBdr>
              <w:divsChild>
                <w:div w:id="1791895791">
                  <w:marLeft w:val="0"/>
                  <w:marRight w:val="0"/>
                  <w:marTop w:val="0"/>
                  <w:marBottom w:val="0"/>
                  <w:divBdr>
                    <w:top w:val="none" w:sz="0" w:space="0" w:color="auto"/>
                    <w:left w:val="none" w:sz="0" w:space="0" w:color="auto"/>
                    <w:bottom w:val="none" w:sz="0" w:space="0" w:color="auto"/>
                    <w:right w:val="none" w:sz="0" w:space="0" w:color="auto"/>
                  </w:divBdr>
                  <w:divsChild>
                    <w:div w:id="309555104">
                      <w:marLeft w:val="0"/>
                      <w:marRight w:val="0"/>
                      <w:marTop w:val="0"/>
                      <w:marBottom w:val="0"/>
                      <w:divBdr>
                        <w:top w:val="none" w:sz="0" w:space="0" w:color="auto"/>
                        <w:left w:val="none" w:sz="0" w:space="0" w:color="auto"/>
                        <w:bottom w:val="none" w:sz="0" w:space="0" w:color="auto"/>
                        <w:right w:val="none" w:sz="0" w:space="0" w:color="auto"/>
                      </w:divBdr>
                      <w:divsChild>
                        <w:div w:id="1369065594">
                          <w:marLeft w:val="0"/>
                          <w:marRight w:val="0"/>
                          <w:marTop w:val="0"/>
                          <w:marBottom w:val="0"/>
                          <w:divBdr>
                            <w:top w:val="none" w:sz="0" w:space="0" w:color="auto"/>
                            <w:left w:val="none" w:sz="0" w:space="0" w:color="auto"/>
                            <w:bottom w:val="none" w:sz="0" w:space="0" w:color="auto"/>
                            <w:right w:val="none" w:sz="0" w:space="0" w:color="auto"/>
                          </w:divBdr>
                          <w:divsChild>
                            <w:div w:id="188833524">
                              <w:marLeft w:val="0"/>
                              <w:marRight w:val="0"/>
                              <w:marTop w:val="0"/>
                              <w:marBottom w:val="0"/>
                              <w:divBdr>
                                <w:top w:val="none" w:sz="0" w:space="0" w:color="auto"/>
                                <w:left w:val="none" w:sz="0" w:space="0" w:color="auto"/>
                                <w:bottom w:val="none" w:sz="0" w:space="0" w:color="auto"/>
                                <w:right w:val="none" w:sz="0" w:space="0" w:color="auto"/>
                              </w:divBdr>
                              <w:divsChild>
                                <w:div w:id="17791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ink.springer.com/article/10.1007/s10111-022-007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CA60712C624D47AFA24E0E2B071E39" ma:contentTypeVersion="11" ma:contentTypeDescription="Create a new document." ma:contentTypeScope="" ma:versionID="6ac4aa2e7b66d13f93f1bf6b935448b2">
  <xsd:schema xmlns:xsd="http://www.w3.org/2001/XMLSchema" xmlns:xs="http://www.w3.org/2001/XMLSchema" xmlns:p="http://schemas.microsoft.com/office/2006/metadata/properties" xmlns:ns2="4bd2851d-78fa-4755-bea0-e81e8d2e92e1" xmlns:ns3="c4363bc9-e002-4f81-a5e1-8f41fba3c29f" xmlns:ns4="ebd36939-a862-4257-99b8-ac208403cbb1" xmlns:ns5="e9215c2e-cb2f-4dc7-87d2-156f8392f66c" targetNamespace="http://schemas.microsoft.com/office/2006/metadata/properties" ma:root="true" ma:fieldsID="96a21eee44906f7c246ea90439bfd290" ns2:_="" ns3:_="" ns4:_="" ns5:_="">
    <xsd:import namespace="4bd2851d-78fa-4755-bea0-e81e8d2e92e1"/>
    <xsd:import namespace="c4363bc9-e002-4f81-a5e1-8f41fba3c29f"/>
    <xsd:import namespace="ebd36939-a862-4257-99b8-ac208403cbb1"/>
    <xsd:import namespace="e9215c2e-cb2f-4dc7-87d2-156f8392f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2851d-78fa-4755-bea0-e81e8d2e9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63bc9-e002-4f81-a5e1-8f41fba3c2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d36939-a862-4257-99b8-ac208403cbb1"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a7b88db-b703-4d04-81b7-e61a8f0436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215c2e-cb2f-4dc7-87d2-156f8392f66c"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b0905a60-8366-4cb6-ab24-12e3f364fff6}" ma:internalName="TaxCatchAll" ma:showField="CatchAllData" ma:web="e9215c2e-cb2f-4dc7-87d2-156f8392f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4363bc9-e002-4f81-a5e1-8f41fba3c29f">
      <UserInfo>
        <DisplayName/>
        <AccountId xsi:nil="true"/>
        <AccountType/>
      </UserInfo>
    </SharedWithUsers>
    <MediaLengthInSeconds xmlns="4bd2851d-78fa-4755-bea0-e81e8d2e92e1" xsi:nil="true"/>
    <TaxCatchAll xmlns="e9215c2e-cb2f-4dc7-87d2-156f8392f66c" xsi:nil="true"/>
    <lcf76f155ced4ddcb4097134ff3c332f xmlns="ebd36939-a862-4257-99b8-ac208403cb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2712FA-97CE-486F-96BA-C51B5DED8F29}">
  <ds:schemaRefs>
    <ds:schemaRef ds:uri="http://schemas.openxmlformats.org/officeDocument/2006/bibliography"/>
  </ds:schemaRefs>
</ds:datastoreItem>
</file>

<file path=customXml/itemProps2.xml><?xml version="1.0" encoding="utf-8"?>
<ds:datastoreItem xmlns:ds="http://schemas.openxmlformats.org/officeDocument/2006/customXml" ds:itemID="{8498F0BC-C086-4F08-9EF2-E9E4A5E9BBA5}"/>
</file>

<file path=customXml/itemProps3.xml><?xml version="1.0" encoding="utf-8"?>
<ds:datastoreItem xmlns:ds="http://schemas.openxmlformats.org/officeDocument/2006/customXml" ds:itemID="{28CB955B-3303-42CA-A661-224890EC8B1F}">
  <ds:schemaRefs>
    <ds:schemaRef ds:uri="http://schemas.microsoft.com/sharepoint/v3/contenttype/forms"/>
  </ds:schemaRefs>
</ds:datastoreItem>
</file>

<file path=customXml/itemProps4.xml><?xml version="1.0" encoding="utf-8"?>
<ds:datastoreItem xmlns:ds="http://schemas.openxmlformats.org/officeDocument/2006/customXml" ds:itemID="{02466FF9-0503-4A4B-B829-9CB5F73058B5}">
  <ds:schemaRefs>
    <ds:schemaRef ds:uri="http://schemas.microsoft.com/office/2006/metadata/properties"/>
    <ds:schemaRef ds:uri="http://schemas.microsoft.com/office/infopath/2007/PartnerControls"/>
    <ds:schemaRef ds:uri="c4363bc9-e002-4f81-a5e1-8f41fba3c29f"/>
    <ds:schemaRef ds:uri="4bd2851d-78fa-4755-bea0-e81e8d2e92e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Whittaker</dc:creator>
  <cp:keywords/>
  <dc:description/>
  <cp:lastModifiedBy>Stephen McGrail</cp:lastModifiedBy>
  <cp:revision>3</cp:revision>
  <dcterms:created xsi:type="dcterms:W3CDTF">2024-01-18T05:21:00Z</dcterms:created>
  <dcterms:modified xsi:type="dcterms:W3CDTF">2024-01-18T05:22:00Z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0x010100E6CA60712C624D47AFA24E0E2B071E39</vt:lpwstr>
  </property>
  <property fmtid="{D5CDD505-2E9C-101B-9397-08002B2CF9AE}" pid="3" name="Order">
    <vt:r8>937000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MSIP_Label_1b52b3a1-dbcb-41fb-a452-370cf542753f_Enabled">
    <vt:lpwstr>true</vt:lpwstr>
  </property>
  <property fmtid="{D5CDD505-2E9C-101B-9397-08002B2CF9AE}" pid="9" name="MSIP_Label_1b52b3a1-dbcb-41fb-a452-370cf542753f_SetDate">
    <vt:lpwstr>2024-01-17T06:28:57Z</vt:lpwstr>
  </property>
  <property fmtid="{D5CDD505-2E9C-101B-9397-08002B2CF9AE}" pid="10" name="MSIP_Label_1b52b3a1-dbcb-41fb-a452-370cf542753f_Method">
    <vt:lpwstr>Privileged</vt:lpwstr>
  </property>
  <property fmtid="{D5CDD505-2E9C-101B-9397-08002B2CF9AE}" pid="11" name="MSIP_Label_1b52b3a1-dbcb-41fb-a452-370cf542753f_Name">
    <vt:lpwstr>Public</vt:lpwstr>
  </property>
  <property fmtid="{D5CDD505-2E9C-101B-9397-08002B2CF9AE}" pid="12" name="MSIP_Label_1b52b3a1-dbcb-41fb-a452-370cf542753f_SiteId">
    <vt:lpwstr>d1323671-cdbe-4417-b4d4-bdb24b51316b</vt:lpwstr>
  </property>
  <property fmtid="{D5CDD505-2E9C-101B-9397-08002B2CF9AE}" pid="13" name="MSIP_Label_1b52b3a1-dbcb-41fb-a452-370cf542753f_ActionId">
    <vt:lpwstr>7a6bdfe2-4165-4cc8-ac7d-43e3430d24d1</vt:lpwstr>
  </property>
  <property fmtid="{D5CDD505-2E9C-101B-9397-08002B2CF9AE}" pid="14" name="MSIP_Label_1b52b3a1-dbcb-41fb-a452-370cf542753f_ContentBits">
    <vt:lpwstr>0</vt:lpwstr>
  </property>
  <property fmtid="{D5CDD505-2E9C-101B-9397-08002B2CF9AE}" pid="15" name="GUID">
    <vt:lpwstr>e0bf9900-5989-4c11-ae8e-32c072d8c7f4</vt:lpwstr>
  </property>
  <property fmtid="{D5CDD505-2E9C-101B-9397-08002B2CF9AE}" pid="16" name="xd_Signature">
    <vt:bool>false</vt:bool>
  </property>
  <property fmtid="{D5CDD505-2E9C-101B-9397-08002B2CF9AE}" pid="17" name="xd_ProgID">
    <vt:lpwstr/>
  </property>
  <property fmtid="{D5CDD505-2E9C-101B-9397-08002B2CF9AE}" pid="18" name="lcf76f155ced4ddcb4097134ff3c332f">
    <vt:lpwstr/>
  </property>
  <property fmtid="{D5CDD505-2E9C-101B-9397-08002B2CF9AE}" pid="19" name="TaxCatchAll">
    <vt:lpwstr/>
  </property>
  <property fmtid="{D5CDD505-2E9C-101B-9397-08002B2CF9AE}" pid="20" name="_SourceUrl">
    <vt:lpwstr/>
  </property>
  <property fmtid="{D5CDD505-2E9C-101B-9397-08002B2CF9AE}" pid="21" name="_SharedFileIndex">
    <vt:lpwstr/>
  </property>
  <property fmtid="{D5CDD505-2E9C-101B-9397-08002B2CF9AE}" pid="22" name="TemplateUrl">
    <vt:lpwstr/>
  </property>
</Properties>
</file>