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09A460" w14:textId="37F304AB" w:rsidR="44305EB7" w:rsidRDefault="47E2C0D0" w:rsidP="03C3C6E3">
      <w:pPr>
        <w:spacing w:after="225" w:line="240" w:lineRule="auto"/>
        <w:jc w:val="center"/>
      </w:pPr>
      <w:r>
        <w:rPr>
          <w:noProof/>
          <w:lang w:eastAsia="en-AU"/>
        </w:rPr>
        <w:drawing>
          <wp:inline distT="0" distB="0" distL="0" distR="0" wp14:anchorId="2D2377E1" wp14:editId="312C94C2">
            <wp:extent cx="3409950" cy="1378188"/>
            <wp:effectExtent l="0" t="0" r="0" b="0"/>
            <wp:docPr id="2133995952" name="Picture 2133995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409950" cy="1378188"/>
                    </a:xfrm>
                    <a:prstGeom prst="rect">
                      <a:avLst/>
                    </a:prstGeom>
                  </pic:spPr>
                </pic:pic>
              </a:graphicData>
            </a:graphic>
          </wp:inline>
        </w:drawing>
      </w:r>
    </w:p>
    <w:p w14:paraId="7F6CEE0B" w14:textId="273DCC13" w:rsidR="00C23221" w:rsidRPr="00226C70" w:rsidRDefault="00923FA5" w:rsidP="00923FA5">
      <w:pPr>
        <w:shd w:val="clear" w:color="auto" w:fill="FFFFFF"/>
        <w:spacing w:after="225" w:line="240" w:lineRule="auto"/>
        <w:jc w:val="center"/>
        <w:outlineLvl w:val="2"/>
        <w:rPr>
          <w:rFonts w:ascii="Arial" w:eastAsia="Times New Roman" w:hAnsi="Arial" w:cs="Arial"/>
          <w:b/>
          <w:bCs/>
          <w:color w:val="1C4590"/>
          <w:sz w:val="24"/>
          <w:szCs w:val="24"/>
          <w:lang w:eastAsia="en-AU"/>
        </w:rPr>
      </w:pPr>
      <w:r>
        <w:rPr>
          <w:rFonts w:ascii="Arial" w:eastAsia="Times New Roman" w:hAnsi="Arial" w:cs="Arial"/>
          <w:b/>
          <w:bCs/>
          <w:color w:val="1C4590"/>
          <w:sz w:val="24"/>
          <w:szCs w:val="24"/>
          <w:lang w:eastAsia="en-AU"/>
        </w:rPr>
        <w:t>RP2.3</w:t>
      </w:r>
      <w:r w:rsidR="00AA0568">
        <w:rPr>
          <w:rFonts w:ascii="Arial" w:eastAsia="Times New Roman" w:hAnsi="Arial" w:cs="Arial"/>
          <w:b/>
          <w:bCs/>
          <w:color w:val="1C4590"/>
          <w:sz w:val="24"/>
          <w:szCs w:val="24"/>
          <w:lang w:eastAsia="en-AU"/>
        </w:rPr>
        <w:t>-</w:t>
      </w:r>
      <w:r>
        <w:rPr>
          <w:rFonts w:ascii="Arial" w:eastAsia="Times New Roman" w:hAnsi="Arial" w:cs="Arial"/>
          <w:b/>
          <w:bCs/>
          <w:color w:val="1C4590"/>
          <w:sz w:val="24"/>
          <w:szCs w:val="24"/>
          <w:lang w:eastAsia="en-AU"/>
        </w:rPr>
        <w:t>05 ALARP decision-making</w:t>
      </w:r>
    </w:p>
    <w:p w14:paraId="0E531B93" w14:textId="04FA9F06" w:rsidR="00613DAF" w:rsidRPr="005737C9" w:rsidRDefault="00613DAF" w:rsidP="00F57339">
      <w:pPr>
        <w:pStyle w:val="Default"/>
        <w:spacing w:after="160" w:line="259" w:lineRule="auto"/>
        <w:rPr>
          <w:color w:val="404040" w:themeColor="text1" w:themeTint="BF"/>
          <w:sz w:val="18"/>
          <w:szCs w:val="18"/>
        </w:rPr>
      </w:pPr>
      <w:r w:rsidRPr="005737C9">
        <w:rPr>
          <w:color w:val="404040" w:themeColor="text1" w:themeTint="BF"/>
          <w:sz w:val="18"/>
          <w:szCs w:val="18"/>
        </w:rPr>
        <w:t>The pipeline sector puts significant effort into managing the potential for high consequence, low frequency accidents. For transmission pipelines, the framework for these activities is set out in AS/NZS 2885 Part 6 Pipeline Safety Management.</w:t>
      </w:r>
    </w:p>
    <w:p w14:paraId="4BCB55FE" w14:textId="63115368" w:rsidR="00F57339" w:rsidRPr="005737C9" w:rsidRDefault="00613DAF" w:rsidP="00F57339">
      <w:pPr>
        <w:pStyle w:val="Default"/>
        <w:spacing w:after="160" w:line="259" w:lineRule="auto"/>
        <w:rPr>
          <w:color w:val="404040" w:themeColor="text1" w:themeTint="BF"/>
          <w:sz w:val="18"/>
          <w:szCs w:val="18"/>
        </w:rPr>
      </w:pPr>
      <w:r w:rsidRPr="005737C9">
        <w:rPr>
          <w:color w:val="404040" w:themeColor="text1" w:themeTint="BF"/>
          <w:sz w:val="18"/>
          <w:szCs w:val="18"/>
        </w:rPr>
        <w:t xml:space="preserve">New requirements were included in the current version of </w:t>
      </w:r>
      <w:r w:rsidR="00906E44">
        <w:rPr>
          <w:color w:val="404040" w:themeColor="text1" w:themeTint="BF"/>
          <w:sz w:val="18"/>
          <w:szCs w:val="18"/>
        </w:rPr>
        <w:t xml:space="preserve">the </w:t>
      </w:r>
      <w:r w:rsidRPr="005737C9">
        <w:rPr>
          <w:color w:val="404040" w:themeColor="text1" w:themeTint="BF"/>
          <w:sz w:val="18"/>
          <w:szCs w:val="18"/>
        </w:rPr>
        <w:t>AS2885</w:t>
      </w:r>
      <w:r w:rsidR="00906E44">
        <w:rPr>
          <w:color w:val="404040" w:themeColor="text1" w:themeTint="BF"/>
          <w:sz w:val="18"/>
          <w:szCs w:val="18"/>
        </w:rPr>
        <w:t xml:space="preserve"> standard</w:t>
      </w:r>
      <w:r w:rsidRPr="005737C9">
        <w:rPr>
          <w:color w:val="404040" w:themeColor="text1" w:themeTint="BF"/>
          <w:sz w:val="18"/>
          <w:szCs w:val="18"/>
        </w:rPr>
        <w:t>, in particular requirements about recognition of high consequence events and formal demonstration that risk is ‘as low as reasonably practicable’ (</w:t>
      </w:r>
      <w:r w:rsidR="00906E44">
        <w:rPr>
          <w:color w:val="404040" w:themeColor="text1" w:themeTint="BF"/>
          <w:sz w:val="18"/>
          <w:szCs w:val="18"/>
        </w:rPr>
        <w:t>“</w:t>
      </w:r>
      <w:r w:rsidRPr="005737C9">
        <w:rPr>
          <w:color w:val="404040" w:themeColor="text1" w:themeTint="BF"/>
          <w:sz w:val="18"/>
          <w:szCs w:val="18"/>
        </w:rPr>
        <w:t>ALARP”).</w:t>
      </w:r>
      <w:r w:rsidR="00F57339" w:rsidRPr="005737C9">
        <w:rPr>
          <w:color w:val="404040" w:themeColor="text1" w:themeTint="BF"/>
          <w:sz w:val="18"/>
          <w:szCs w:val="18"/>
        </w:rPr>
        <w:t xml:space="preserve"> </w:t>
      </w:r>
      <w:r w:rsidRPr="005737C9">
        <w:rPr>
          <w:color w:val="404040" w:themeColor="text1" w:themeTint="BF"/>
          <w:sz w:val="18"/>
          <w:szCs w:val="18"/>
        </w:rPr>
        <w:t xml:space="preserve">The </w:t>
      </w:r>
      <w:r w:rsidR="00F57339" w:rsidRPr="005737C9">
        <w:rPr>
          <w:color w:val="404040" w:themeColor="text1" w:themeTint="BF"/>
          <w:sz w:val="18"/>
          <w:szCs w:val="18"/>
        </w:rPr>
        <w:t xml:space="preserve">focus of </w:t>
      </w:r>
      <w:r w:rsidR="00F57339" w:rsidRPr="005737C9">
        <w:rPr>
          <w:b/>
          <w:bCs/>
          <w:color w:val="404040" w:themeColor="text1" w:themeTint="BF"/>
          <w:sz w:val="18"/>
          <w:szCs w:val="18"/>
        </w:rPr>
        <w:t>RP2.3-05</w:t>
      </w:r>
      <w:r w:rsidR="00F57339" w:rsidRPr="005737C9">
        <w:rPr>
          <w:color w:val="404040" w:themeColor="text1" w:themeTint="BF"/>
          <w:sz w:val="18"/>
          <w:szCs w:val="18"/>
        </w:rPr>
        <w:t xml:space="preserve"> was two-fold:</w:t>
      </w:r>
    </w:p>
    <w:p w14:paraId="5F412757" w14:textId="4D256BC4" w:rsidR="00F57339" w:rsidRPr="005737C9" w:rsidRDefault="00F57339" w:rsidP="00F57339">
      <w:pPr>
        <w:pStyle w:val="Default"/>
        <w:numPr>
          <w:ilvl w:val="0"/>
          <w:numId w:val="7"/>
        </w:numPr>
        <w:spacing w:after="160" w:line="259" w:lineRule="auto"/>
        <w:rPr>
          <w:color w:val="404040" w:themeColor="text1" w:themeTint="BF"/>
          <w:sz w:val="18"/>
          <w:szCs w:val="18"/>
        </w:rPr>
      </w:pPr>
      <w:r w:rsidRPr="005737C9">
        <w:rPr>
          <w:color w:val="404040" w:themeColor="text1" w:themeTint="BF"/>
          <w:sz w:val="18"/>
          <w:szCs w:val="18"/>
        </w:rPr>
        <w:t>T</w:t>
      </w:r>
      <w:r w:rsidR="00613DAF" w:rsidRPr="005737C9">
        <w:rPr>
          <w:color w:val="404040" w:themeColor="text1" w:themeTint="BF"/>
          <w:sz w:val="18"/>
          <w:szCs w:val="18"/>
        </w:rPr>
        <w:t>o investigate the experience of industry in implementing these</w:t>
      </w:r>
      <w:r w:rsidR="00906E44">
        <w:rPr>
          <w:color w:val="404040" w:themeColor="text1" w:themeTint="BF"/>
          <w:sz w:val="18"/>
          <w:szCs w:val="18"/>
        </w:rPr>
        <w:t xml:space="preserve"> ALARP</w:t>
      </w:r>
      <w:r w:rsidR="00613DAF" w:rsidRPr="005737C9">
        <w:rPr>
          <w:color w:val="404040" w:themeColor="text1" w:themeTint="BF"/>
          <w:sz w:val="18"/>
          <w:szCs w:val="18"/>
        </w:rPr>
        <w:t xml:space="preserve"> requirements with a view to determining how safety decision making could be further improved, particularly in the context of future fuels.</w:t>
      </w:r>
    </w:p>
    <w:p w14:paraId="10704722" w14:textId="447CCDD0" w:rsidR="00F57339" w:rsidRPr="005737C9" w:rsidRDefault="00F57339" w:rsidP="00F57339">
      <w:pPr>
        <w:pStyle w:val="Default"/>
        <w:numPr>
          <w:ilvl w:val="0"/>
          <w:numId w:val="7"/>
        </w:numPr>
        <w:spacing w:after="160" w:line="259" w:lineRule="auto"/>
        <w:rPr>
          <w:color w:val="404040" w:themeColor="text1" w:themeTint="BF"/>
          <w:sz w:val="18"/>
          <w:szCs w:val="18"/>
        </w:rPr>
      </w:pPr>
      <w:r w:rsidRPr="005737C9">
        <w:rPr>
          <w:color w:val="404040" w:themeColor="text1" w:themeTint="BF"/>
          <w:sz w:val="18"/>
          <w:szCs w:val="18"/>
        </w:rPr>
        <w:t>To consider how the research could inform the next revision of the standard or inform the development of additional tool(s)/guidance for ALARP decision-making (outside the formal Standards Australia documentation).</w:t>
      </w:r>
    </w:p>
    <w:p w14:paraId="02F08F27" w14:textId="43814D1E" w:rsidR="00F57339" w:rsidRPr="005737C9" w:rsidRDefault="00F57339" w:rsidP="00F57339">
      <w:pPr>
        <w:pStyle w:val="Default"/>
        <w:spacing w:after="160" w:line="259" w:lineRule="auto"/>
        <w:rPr>
          <w:b/>
          <w:bCs/>
          <w:color w:val="404040" w:themeColor="text1" w:themeTint="BF"/>
          <w:sz w:val="18"/>
          <w:szCs w:val="18"/>
        </w:rPr>
      </w:pPr>
      <w:r w:rsidRPr="005737C9">
        <w:rPr>
          <w:b/>
          <w:bCs/>
          <w:color w:val="404040" w:themeColor="text1" w:themeTint="BF"/>
          <w:sz w:val="18"/>
          <w:szCs w:val="18"/>
        </w:rPr>
        <w:t>Research outcomes</w:t>
      </w:r>
    </w:p>
    <w:p w14:paraId="777DD105" w14:textId="7B72150A" w:rsidR="00457AFE" w:rsidRPr="005737C9" w:rsidRDefault="00F57339" w:rsidP="00457AFE">
      <w:pPr>
        <w:pStyle w:val="Default"/>
        <w:spacing w:after="160" w:line="259" w:lineRule="auto"/>
        <w:rPr>
          <w:color w:val="404040" w:themeColor="text1" w:themeTint="BF"/>
          <w:sz w:val="18"/>
          <w:szCs w:val="18"/>
        </w:rPr>
      </w:pPr>
      <w:r w:rsidRPr="005737C9">
        <w:rPr>
          <w:color w:val="404040" w:themeColor="text1" w:themeTint="BF"/>
          <w:sz w:val="18"/>
          <w:szCs w:val="18"/>
        </w:rPr>
        <w:t xml:space="preserve">The project’s </w:t>
      </w:r>
      <w:r w:rsidRPr="005737C9">
        <w:rPr>
          <w:i/>
          <w:iCs/>
          <w:color w:val="404040" w:themeColor="text1" w:themeTint="BF"/>
          <w:sz w:val="18"/>
          <w:szCs w:val="18"/>
        </w:rPr>
        <w:t>Interim Report</w:t>
      </w:r>
      <w:r w:rsidR="00457AFE" w:rsidRPr="005737C9">
        <w:rPr>
          <w:color w:val="404040" w:themeColor="text1" w:themeTint="BF"/>
          <w:sz w:val="18"/>
          <w:szCs w:val="18"/>
        </w:rPr>
        <w:t xml:space="preserve"> focusses on the first two phases of </w:t>
      </w:r>
      <w:r w:rsidR="00906E44">
        <w:rPr>
          <w:color w:val="404040" w:themeColor="text1" w:themeTint="BF"/>
          <w:sz w:val="18"/>
          <w:szCs w:val="18"/>
        </w:rPr>
        <w:t xml:space="preserve">the </w:t>
      </w:r>
      <w:r w:rsidR="00457AFE" w:rsidRPr="005737C9">
        <w:rPr>
          <w:color w:val="404040" w:themeColor="text1" w:themeTint="BF"/>
          <w:sz w:val="18"/>
          <w:szCs w:val="18"/>
        </w:rPr>
        <w:t>project which investigated whether the current requirements regarding ALARP in the standard remain aligned with best practice and, secondly, sought to understand if and how the requirements of the standard regarding ALARP are currently being implemented by</w:t>
      </w:r>
      <w:r w:rsidR="0030459F">
        <w:rPr>
          <w:color w:val="404040" w:themeColor="text1" w:themeTint="BF"/>
          <w:sz w:val="18"/>
          <w:szCs w:val="18"/>
        </w:rPr>
        <w:t xml:space="preserve"> </w:t>
      </w:r>
      <w:r w:rsidR="00457AFE" w:rsidRPr="005737C9">
        <w:rPr>
          <w:color w:val="404040" w:themeColor="text1" w:themeTint="BF"/>
          <w:sz w:val="18"/>
          <w:szCs w:val="18"/>
        </w:rPr>
        <w:t>the pipeline industry.</w:t>
      </w:r>
    </w:p>
    <w:p w14:paraId="5698906A" w14:textId="1F538A1D" w:rsidR="00FE12D1" w:rsidRPr="005737C9" w:rsidRDefault="00FE12D1" w:rsidP="00457AFE">
      <w:pPr>
        <w:pStyle w:val="Default"/>
        <w:spacing w:after="160" w:line="259" w:lineRule="auto"/>
        <w:rPr>
          <w:color w:val="404040" w:themeColor="text1" w:themeTint="BF"/>
          <w:sz w:val="18"/>
          <w:szCs w:val="18"/>
        </w:rPr>
      </w:pPr>
      <w:r w:rsidRPr="005737C9">
        <w:rPr>
          <w:color w:val="404040" w:themeColor="text1" w:themeTint="BF"/>
          <w:sz w:val="18"/>
          <w:szCs w:val="18"/>
        </w:rPr>
        <w:t xml:space="preserve">The </w:t>
      </w:r>
      <w:r w:rsidR="00906E44">
        <w:rPr>
          <w:color w:val="404040" w:themeColor="text1" w:themeTint="BF"/>
          <w:sz w:val="18"/>
          <w:szCs w:val="18"/>
        </w:rPr>
        <w:t xml:space="preserve">study </w:t>
      </w:r>
      <w:r w:rsidRPr="005737C9">
        <w:rPr>
          <w:color w:val="404040" w:themeColor="text1" w:themeTint="BF"/>
          <w:sz w:val="18"/>
          <w:szCs w:val="18"/>
        </w:rPr>
        <w:t>concluded that the standard remains broadly consistent with best practice,</w:t>
      </w:r>
      <w:r w:rsidR="00906E44">
        <w:rPr>
          <w:color w:val="404040" w:themeColor="text1" w:themeTint="BF"/>
          <w:sz w:val="18"/>
          <w:szCs w:val="18"/>
        </w:rPr>
        <w:t xml:space="preserve"> but also identified </w:t>
      </w:r>
      <w:r w:rsidRPr="005737C9">
        <w:rPr>
          <w:color w:val="404040" w:themeColor="text1" w:themeTint="BF"/>
          <w:sz w:val="18"/>
          <w:szCs w:val="18"/>
        </w:rPr>
        <w:t xml:space="preserve">considerations regarding demonstration of ALARP that </w:t>
      </w:r>
      <w:r w:rsidR="00906E44">
        <w:rPr>
          <w:color w:val="404040" w:themeColor="text1" w:themeTint="BF"/>
          <w:sz w:val="18"/>
          <w:szCs w:val="18"/>
        </w:rPr>
        <w:t xml:space="preserve">could </w:t>
      </w:r>
      <w:r w:rsidRPr="005737C9">
        <w:rPr>
          <w:color w:val="404040" w:themeColor="text1" w:themeTint="BF"/>
          <w:sz w:val="18"/>
          <w:szCs w:val="18"/>
        </w:rPr>
        <w:t>inform minor adjustments.</w:t>
      </w:r>
    </w:p>
    <w:p w14:paraId="6F188E83" w14:textId="671E57C6" w:rsidR="00512A81" w:rsidRPr="005737C9" w:rsidRDefault="009E0C3F" w:rsidP="008D2B66">
      <w:pPr>
        <w:pStyle w:val="Default"/>
        <w:spacing w:after="160" w:line="259" w:lineRule="auto"/>
        <w:rPr>
          <w:color w:val="404040" w:themeColor="text1" w:themeTint="BF"/>
          <w:sz w:val="18"/>
          <w:szCs w:val="18"/>
        </w:rPr>
      </w:pPr>
      <w:r w:rsidRPr="005737C9">
        <w:rPr>
          <w:color w:val="404040" w:themeColor="text1" w:themeTint="BF"/>
          <w:sz w:val="18"/>
          <w:szCs w:val="18"/>
        </w:rPr>
        <w:t xml:space="preserve">Interview research found that three different approaches </w:t>
      </w:r>
      <w:r w:rsidR="008D2B66" w:rsidRPr="005737C9">
        <w:rPr>
          <w:color w:val="404040" w:themeColor="text1" w:themeTint="BF"/>
          <w:sz w:val="18"/>
          <w:szCs w:val="18"/>
        </w:rPr>
        <w:t xml:space="preserve">were </w:t>
      </w:r>
      <w:r w:rsidRPr="005737C9">
        <w:rPr>
          <w:color w:val="404040" w:themeColor="text1" w:themeTint="BF"/>
          <w:sz w:val="18"/>
          <w:szCs w:val="18"/>
        </w:rPr>
        <w:t>being used to demonstrate ALARP</w:t>
      </w:r>
      <w:r w:rsidR="008D2B66" w:rsidRPr="005737C9">
        <w:rPr>
          <w:color w:val="404040" w:themeColor="text1" w:themeTint="BF"/>
          <w:sz w:val="18"/>
          <w:szCs w:val="18"/>
        </w:rPr>
        <w:t xml:space="preserve"> and the report discusses th</w:t>
      </w:r>
      <w:r w:rsidR="0030459F">
        <w:rPr>
          <w:color w:val="404040" w:themeColor="text1" w:themeTint="BF"/>
          <w:sz w:val="18"/>
          <w:szCs w:val="18"/>
        </w:rPr>
        <w:t>is</w:t>
      </w:r>
      <w:r w:rsidR="008D2B66" w:rsidRPr="005737C9">
        <w:rPr>
          <w:color w:val="404040" w:themeColor="text1" w:themeTint="BF"/>
          <w:sz w:val="18"/>
          <w:szCs w:val="18"/>
        </w:rPr>
        <w:t xml:space="preserve"> high level of variation. This variation is partly attributed to the fact that involved consultants </w:t>
      </w:r>
      <w:r w:rsidR="00512A81" w:rsidRPr="005737C9">
        <w:rPr>
          <w:color w:val="404040" w:themeColor="text1" w:themeTint="BF"/>
          <w:sz w:val="18"/>
          <w:szCs w:val="18"/>
        </w:rPr>
        <w:t>have their own ways of doing things and</w:t>
      </w:r>
      <w:r w:rsidR="008D2B66" w:rsidRPr="005737C9">
        <w:rPr>
          <w:color w:val="404040" w:themeColor="text1" w:themeTint="BF"/>
          <w:sz w:val="18"/>
          <w:szCs w:val="18"/>
        </w:rPr>
        <w:t xml:space="preserve"> </w:t>
      </w:r>
      <w:r w:rsidR="00512A81" w:rsidRPr="005737C9">
        <w:rPr>
          <w:color w:val="404040" w:themeColor="text1" w:themeTint="BF"/>
          <w:sz w:val="18"/>
          <w:szCs w:val="18"/>
        </w:rPr>
        <w:t xml:space="preserve">some </w:t>
      </w:r>
      <w:r w:rsidR="008D2B66" w:rsidRPr="005737C9">
        <w:rPr>
          <w:color w:val="404040" w:themeColor="text1" w:themeTint="BF"/>
          <w:sz w:val="18"/>
          <w:szCs w:val="18"/>
        </w:rPr>
        <w:t xml:space="preserve">of these consultants </w:t>
      </w:r>
      <w:r w:rsidR="00906E44">
        <w:rPr>
          <w:color w:val="404040" w:themeColor="text1" w:themeTint="BF"/>
          <w:sz w:val="18"/>
          <w:szCs w:val="18"/>
        </w:rPr>
        <w:t xml:space="preserve">– </w:t>
      </w:r>
      <w:r w:rsidR="008D2B66" w:rsidRPr="005737C9">
        <w:rPr>
          <w:color w:val="404040" w:themeColor="text1" w:themeTint="BF"/>
          <w:sz w:val="18"/>
          <w:szCs w:val="18"/>
        </w:rPr>
        <w:t xml:space="preserve">at the time of writing (June 2021) </w:t>
      </w:r>
      <w:r w:rsidR="00906E44">
        <w:rPr>
          <w:color w:val="404040" w:themeColor="text1" w:themeTint="BF"/>
          <w:sz w:val="18"/>
          <w:szCs w:val="18"/>
        </w:rPr>
        <w:t xml:space="preserve">– </w:t>
      </w:r>
      <w:r w:rsidR="008D2B66" w:rsidRPr="005737C9">
        <w:rPr>
          <w:color w:val="404040" w:themeColor="text1" w:themeTint="BF"/>
          <w:sz w:val="18"/>
          <w:szCs w:val="18"/>
        </w:rPr>
        <w:t xml:space="preserve">hadn’t </w:t>
      </w:r>
      <w:r w:rsidR="00512A81" w:rsidRPr="005737C9">
        <w:rPr>
          <w:color w:val="404040" w:themeColor="text1" w:themeTint="BF"/>
          <w:sz w:val="18"/>
          <w:szCs w:val="18"/>
        </w:rPr>
        <w:t>updated their practice to take the revised requirements into account.</w:t>
      </w:r>
    </w:p>
    <w:p w14:paraId="4468B564" w14:textId="57ED1E29" w:rsidR="00512A81" w:rsidRPr="005737C9" w:rsidRDefault="00CF3DA7" w:rsidP="00CF3DA7">
      <w:pPr>
        <w:pStyle w:val="Default"/>
        <w:spacing w:after="160" w:line="259" w:lineRule="auto"/>
        <w:rPr>
          <w:color w:val="404040" w:themeColor="text1" w:themeTint="BF"/>
          <w:sz w:val="18"/>
          <w:szCs w:val="18"/>
        </w:rPr>
      </w:pPr>
      <w:r w:rsidRPr="005737C9">
        <w:rPr>
          <w:color w:val="404040" w:themeColor="text1" w:themeTint="BF"/>
          <w:sz w:val="18"/>
          <w:szCs w:val="18"/>
        </w:rPr>
        <w:t xml:space="preserve">The subsequent phase of the project </w:t>
      </w:r>
      <w:r w:rsidR="005737C9" w:rsidRPr="005737C9">
        <w:rPr>
          <w:color w:val="404040" w:themeColor="text1" w:themeTint="BF"/>
          <w:sz w:val="18"/>
          <w:szCs w:val="18"/>
        </w:rPr>
        <w:t xml:space="preserve">focussed on </w:t>
      </w:r>
      <w:r w:rsidRPr="005737C9">
        <w:rPr>
          <w:color w:val="404040" w:themeColor="text1" w:themeTint="BF"/>
          <w:sz w:val="18"/>
          <w:szCs w:val="18"/>
        </w:rPr>
        <w:t>develop</w:t>
      </w:r>
      <w:r w:rsidR="005737C9" w:rsidRPr="005737C9">
        <w:rPr>
          <w:color w:val="404040" w:themeColor="text1" w:themeTint="BF"/>
          <w:sz w:val="18"/>
          <w:szCs w:val="18"/>
        </w:rPr>
        <w:t xml:space="preserve">ing </w:t>
      </w:r>
      <w:r w:rsidRPr="005737C9">
        <w:rPr>
          <w:color w:val="404040" w:themeColor="text1" w:themeTint="BF"/>
          <w:sz w:val="18"/>
          <w:szCs w:val="18"/>
        </w:rPr>
        <w:t xml:space="preserve">a Microsoft Excel-based </w:t>
      </w:r>
      <w:r w:rsidR="00906E44">
        <w:rPr>
          <w:color w:val="404040" w:themeColor="text1" w:themeTint="BF"/>
          <w:sz w:val="18"/>
          <w:szCs w:val="18"/>
        </w:rPr>
        <w:t xml:space="preserve">ALARP </w:t>
      </w:r>
      <w:r w:rsidRPr="005737C9">
        <w:rPr>
          <w:color w:val="404040" w:themeColor="text1" w:themeTint="BF"/>
          <w:sz w:val="18"/>
          <w:szCs w:val="18"/>
        </w:rPr>
        <w:t>decision support tool which is based on the Choosing by Advantages method.</w:t>
      </w:r>
    </w:p>
    <w:p w14:paraId="591829BA" w14:textId="33FF53DE" w:rsidR="00F57339" w:rsidRPr="005737C9" w:rsidRDefault="005737C9" w:rsidP="00F57339">
      <w:pPr>
        <w:pStyle w:val="Default"/>
        <w:spacing w:after="160" w:line="259" w:lineRule="auto"/>
        <w:rPr>
          <w:b/>
          <w:bCs/>
          <w:color w:val="404040" w:themeColor="text1" w:themeTint="BF"/>
          <w:sz w:val="18"/>
          <w:szCs w:val="18"/>
        </w:rPr>
      </w:pPr>
      <w:r w:rsidRPr="005737C9">
        <w:rPr>
          <w:b/>
          <w:bCs/>
          <w:color w:val="404040" w:themeColor="text1" w:themeTint="BF"/>
          <w:sz w:val="18"/>
          <w:szCs w:val="18"/>
        </w:rPr>
        <w:t>Initial industry utilisation and n</w:t>
      </w:r>
      <w:r w:rsidR="00F57339" w:rsidRPr="005737C9">
        <w:rPr>
          <w:b/>
          <w:bCs/>
          <w:color w:val="404040" w:themeColor="text1" w:themeTint="BF"/>
          <w:sz w:val="18"/>
          <w:szCs w:val="18"/>
        </w:rPr>
        <w:t>ext steps</w:t>
      </w:r>
    </w:p>
    <w:p w14:paraId="037AD348" w14:textId="592FA0F8" w:rsidR="005737C9" w:rsidRDefault="005737C9" w:rsidP="00F57339">
      <w:pPr>
        <w:pStyle w:val="Default"/>
        <w:spacing w:after="160" w:line="259" w:lineRule="auto"/>
        <w:rPr>
          <w:color w:val="404040" w:themeColor="text1" w:themeTint="BF"/>
          <w:sz w:val="18"/>
          <w:szCs w:val="18"/>
        </w:rPr>
      </w:pPr>
      <w:r w:rsidRPr="005737C9">
        <w:rPr>
          <w:color w:val="404040" w:themeColor="text1" w:themeTint="BF"/>
          <w:sz w:val="18"/>
          <w:szCs w:val="18"/>
        </w:rPr>
        <w:t xml:space="preserve">Future Fuels CRC has received positive industry feedback on the </w:t>
      </w:r>
      <w:r w:rsidR="0030459F">
        <w:rPr>
          <w:color w:val="404040" w:themeColor="text1" w:themeTint="BF"/>
          <w:sz w:val="18"/>
          <w:szCs w:val="18"/>
        </w:rPr>
        <w:t>Excel-based</w:t>
      </w:r>
      <w:r w:rsidRPr="005737C9">
        <w:rPr>
          <w:color w:val="404040" w:themeColor="text1" w:themeTint="BF"/>
          <w:sz w:val="18"/>
          <w:szCs w:val="18"/>
        </w:rPr>
        <w:t xml:space="preserve"> decision-support tool that resulted from th</w:t>
      </w:r>
      <w:r w:rsidR="00906E44">
        <w:rPr>
          <w:color w:val="404040" w:themeColor="text1" w:themeTint="BF"/>
          <w:sz w:val="18"/>
          <w:szCs w:val="18"/>
        </w:rPr>
        <w:t xml:space="preserve">is </w:t>
      </w:r>
      <w:r w:rsidRPr="005737C9">
        <w:rPr>
          <w:color w:val="404040" w:themeColor="text1" w:themeTint="BF"/>
          <w:sz w:val="18"/>
          <w:szCs w:val="18"/>
        </w:rPr>
        <w:t xml:space="preserve">project (e.g. </w:t>
      </w:r>
      <w:r w:rsidR="00906E44">
        <w:rPr>
          <w:color w:val="404040" w:themeColor="text1" w:themeTint="BF"/>
          <w:sz w:val="18"/>
          <w:szCs w:val="18"/>
        </w:rPr>
        <w:t xml:space="preserve">feedback </w:t>
      </w:r>
      <w:r w:rsidRPr="005737C9">
        <w:rPr>
          <w:color w:val="404040" w:themeColor="text1" w:themeTint="BF"/>
          <w:sz w:val="18"/>
          <w:szCs w:val="18"/>
        </w:rPr>
        <w:t>from consultants assisting with ALARP demonstrations).</w:t>
      </w:r>
    </w:p>
    <w:p w14:paraId="47518895" w14:textId="1D0553AA" w:rsidR="00F57339" w:rsidRPr="005737C9" w:rsidRDefault="007845BC" w:rsidP="00F57339">
      <w:pPr>
        <w:pStyle w:val="Default"/>
        <w:spacing w:after="160" w:line="259" w:lineRule="auto"/>
        <w:rPr>
          <w:color w:val="404040" w:themeColor="text1" w:themeTint="BF"/>
          <w:sz w:val="18"/>
          <w:szCs w:val="18"/>
        </w:rPr>
      </w:pPr>
      <w:r>
        <w:rPr>
          <w:color w:val="404040" w:themeColor="text1" w:themeTint="BF"/>
          <w:sz w:val="18"/>
          <w:szCs w:val="18"/>
        </w:rPr>
        <w:t xml:space="preserve">At the time of writing </w:t>
      </w:r>
      <w:r w:rsidR="00CF3DA7" w:rsidRPr="005737C9">
        <w:rPr>
          <w:color w:val="404040" w:themeColor="text1" w:themeTint="BF"/>
          <w:sz w:val="18"/>
          <w:szCs w:val="18"/>
        </w:rPr>
        <w:t>F</w:t>
      </w:r>
      <w:r>
        <w:rPr>
          <w:color w:val="404040" w:themeColor="text1" w:themeTint="BF"/>
          <w:sz w:val="18"/>
          <w:szCs w:val="18"/>
        </w:rPr>
        <w:t xml:space="preserve">uture Fuels </w:t>
      </w:r>
      <w:r w:rsidR="00CF3DA7" w:rsidRPr="005737C9">
        <w:rPr>
          <w:color w:val="404040" w:themeColor="text1" w:themeTint="BF"/>
          <w:sz w:val="18"/>
          <w:szCs w:val="18"/>
        </w:rPr>
        <w:t>CRC and the Australian Pipelines and Gas Association (APGA)</w:t>
      </w:r>
      <w:r>
        <w:rPr>
          <w:color w:val="404040" w:themeColor="text1" w:themeTint="BF"/>
          <w:sz w:val="18"/>
          <w:szCs w:val="18"/>
        </w:rPr>
        <w:t xml:space="preserve"> have co-funded </w:t>
      </w:r>
      <w:r w:rsidR="00906E44">
        <w:rPr>
          <w:color w:val="404040" w:themeColor="text1" w:themeTint="BF"/>
          <w:sz w:val="18"/>
          <w:szCs w:val="18"/>
        </w:rPr>
        <w:t xml:space="preserve">additional </w:t>
      </w:r>
      <w:r>
        <w:rPr>
          <w:color w:val="404040" w:themeColor="text1" w:themeTint="BF"/>
          <w:sz w:val="18"/>
          <w:szCs w:val="18"/>
        </w:rPr>
        <w:t xml:space="preserve">work on a </w:t>
      </w:r>
      <w:proofErr w:type="gramStart"/>
      <w:r>
        <w:rPr>
          <w:color w:val="404040" w:themeColor="text1" w:themeTint="BF"/>
          <w:sz w:val="18"/>
          <w:szCs w:val="18"/>
        </w:rPr>
        <w:t>web-based</w:t>
      </w:r>
      <w:proofErr w:type="gramEnd"/>
      <w:r>
        <w:rPr>
          <w:color w:val="404040" w:themeColor="text1" w:themeTint="BF"/>
          <w:sz w:val="18"/>
          <w:szCs w:val="18"/>
        </w:rPr>
        <w:t xml:space="preserve"> </w:t>
      </w:r>
      <w:r w:rsidRPr="005737C9">
        <w:rPr>
          <w:color w:val="404040" w:themeColor="text1" w:themeTint="BF"/>
          <w:sz w:val="18"/>
          <w:szCs w:val="18"/>
        </w:rPr>
        <w:t>ALARP</w:t>
      </w:r>
      <w:r>
        <w:rPr>
          <w:color w:val="404040" w:themeColor="text1" w:themeTint="BF"/>
          <w:sz w:val="18"/>
          <w:szCs w:val="18"/>
        </w:rPr>
        <w:t xml:space="preserve"> decision making tool. This tool is based on the Excel-based decision-support tool and will be made available via APGA’s website.   </w:t>
      </w:r>
    </w:p>
    <w:p w14:paraId="4AE1182A" w14:textId="57CA783D" w:rsidR="6067BEDF" w:rsidRPr="005737C9" w:rsidRDefault="6067BEDF" w:rsidP="1C3B124F">
      <w:pPr>
        <w:rPr>
          <w:rStyle w:val="Strong"/>
          <w:rFonts w:ascii="Arial" w:eastAsia="Arial" w:hAnsi="Arial" w:cs="Arial"/>
          <w:color w:val="404040" w:themeColor="text1" w:themeTint="BF"/>
          <w:sz w:val="18"/>
          <w:szCs w:val="18"/>
        </w:rPr>
      </w:pPr>
      <w:r w:rsidRPr="005737C9">
        <w:rPr>
          <w:rStyle w:val="Strong"/>
          <w:rFonts w:ascii="Arial" w:eastAsia="Arial" w:hAnsi="Arial" w:cs="Arial"/>
          <w:color w:val="404040" w:themeColor="text1" w:themeTint="BF"/>
          <w:sz w:val="18"/>
          <w:szCs w:val="18"/>
        </w:rPr>
        <w:t>Acknowledgements</w:t>
      </w:r>
    </w:p>
    <w:p w14:paraId="59B19E9F" w14:textId="38C1D5AF" w:rsidR="00613DAF" w:rsidRPr="005737C9" w:rsidRDefault="00613DAF" w:rsidP="00613DAF">
      <w:pPr>
        <w:autoSpaceDE w:val="0"/>
        <w:autoSpaceDN w:val="0"/>
        <w:adjustRightInd w:val="0"/>
        <w:spacing w:line="240" w:lineRule="auto"/>
        <w:rPr>
          <w:rFonts w:ascii="Arial" w:hAnsi="Arial" w:cs="Arial"/>
          <w:color w:val="404040" w:themeColor="text1" w:themeTint="BF"/>
          <w:sz w:val="18"/>
          <w:szCs w:val="18"/>
        </w:rPr>
      </w:pPr>
      <w:r w:rsidRPr="005737C9">
        <w:rPr>
          <w:rStyle w:val="Strong"/>
          <w:rFonts w:ascii="Arial" w:eastAsia="Arial" w:hAnsi="Arial" w:cs="Arial"/>
          <w:b w:val="0"/>
          <w:bCs w:val="0"/>
          <w:color w:val="404040" w:themeColor="text1" w:themeTint="BF"/>
          <w:sz w:val="18"/>
          <w:szCs w:val="18"/>
        </w:rPr>
        <w:t>The project was led by research team comprised of staff from RMIT (</w:t>
      </w:r>
      <w:r w:rsidRPr="005737C9">
        <w:rPr>
          <w:rFonts w:ascii="Arial" w:hAnsi="Arial" w:cs="Arial"/>
          <w:color w:val="404040" w:themeColor="text1" w:themeTint="BF"/>
          <w:sz w:val="18"/>
          <w:szCs w:val="18"/>
        </w:rPr>
        <w:t>Jan Hayes, Nader Naderpajouh,), who were supported by industry advisors from GPA Engineering, Sage Consulting, APA Group, Epic energy, SEA Gas, and the South Australian Department for Energy and Mining (SA DEM).</w:t>
      </w:r>
    </w:p>
    <w:p w14:paraId="216C1382" w14:textId="2704446B" w:rsidR="00EC1D3E" w:rsidRPr="005737C9" w:rsidRDefault="00EC1D3E" w:rsidP="00613DAF">
      <w:pPr>
        <w:autoSpaceDE w:val="0"/>
        <w:autoSpaceDN w:val="0"/>
        <w:adjustRightInd w:val="0"/>
        <w:spacing w:line="240" w:lineRule="auto"/>
        <w:rPr>
          <w:rFonts w:ascii="Arial" w:hAnsi="Arial" w:cs="Arial"/>
          <w:color w:val="404040" w:themeColor="text1" w:themeTint="BF"/>
          <w:sz w:val="18"/>
          <w:szCs w:val="18"/>
        </w:rPr>
      </w:pPr>
      <w:r w:rsidRPr="005737C9">
        <w:rPr>
          <w:rFonts w:ascii="Arial" w:hAnsi="Arial" w:cs="Arial"/>
          <w:color w:val="404040" w:themeColor="text1" w:themeTint="BF"/>
          <w:sz w:val="18"/>
          <w:szCs w:val="18"/>
        </w:rPr>
        <w:t>Future Fuels CRC would also like to acknowledge the support of APGA</w:t>
      </w:r>
      <w:r w:rsidR="00CF3DA7" w:rsidRPr="005737C9">
        <w:rPr>
          <w:rFonts w:ascii="Arial" w:hAnsi="Arial" w:cs="Arial"/>
          <w:color w:val="404040" w:themeColor="text1" w:themeTint="BF"/>
          <w:sz w:val="18"/>
          <w:szCs w:val="18"/>
        </w:rPr>
        <w:t xml:space="preserve"> and the ongoing work of APGA staff to make a </w:t>
      </w:r>
      <w:proofErr w:type="gramStart"/>
      <w:r w:rsidRPr="005737C9">
        <w:rPr>
          <w:rFonts w:ascii="Arial" w:hAnsi="Arial" w:cs="Arial"/>
          <w:color w:val="404040" w:themeColor="text1" w:themeTint="BF"/>
          <w:sz w:val="18"/>
          <w:szCs w:val="18"/>
        </w:rPr>
        <w:t>web-based</w:t>
      </w:r>
      <w:proofErr w:type="gramEnd"/>
      <w:r w:rsidRPr="005737C9">
        <w:rPr>
          <w:rFonts w:ascii="Arial" w:hAnsi="Arial" w:cs="Arial"/>
          <w:color w:val="404040" w:themeColor="text1" w:themeTint="BF"/>
          <w:sz w:val="18"/>
          <w:szCs w:val="18"/>
        </w:rPr>
        <w:t xml:space="preserve"> ALARP tool</w:t>
      </w:r>
      <w:r w:rsidR="00CF3DA7" w:rsidRPr="005737C9">
        <w:rPr>
          <w:rFonts w:ascii="Arial" w:hAnsi="Arial" w:cs="Arial"/>
          <w:color w:val="404040" w:themeColor="text1" w:themeTint="BF"/>
          <w:sz w:val="18"/>
          <w:szCs w:val="18"/>
        </w:rPr>
        <w:t xml:space="preserve"> available through the APGA website.</w:t>
      </w:r>
    </w:p>
    <w:p w14:paraId="4B3EECA6" w14:textId="0DED8631" w:rsidR="50F29594" w:rsidRPr="00613DAF" w:rsidRDefault="50F29594" w:rsidP="00613DAF">
      <w:pPr>
        <w:rPr>
          <w:rStyle w:val="Strong"/>
          <w:rFonts w:ascii="Arial" w:eastAsia="Arial" w:hAnsi="Arial" w:cs="Arial"/>
          <w:b w:val="0"/>
          <w:bCs w:val="0"/>
          <w:color w:val="404040" w:themeColor="text1" w:themeTint="BF"/>
          <w:sz w:val="18"/>
          <w:szCs w:val="18"/>
        </w:rPr>
      </w:pPr>
      <w:r w:rsidRPr="00613DAF">
        <w:rPr>
          <w:rStyle w:val="Strong"/>
          <w:rFonts w:ascii="Arial" w:eastAsia="Arial" w:hAnsi="Arial" w:cs="Arial"/>
          <w:b w:val="0"/>
          <w:bCs w:val="0"/>
          <w:color w:val="404040" w:themeColor="text1" w:themeTint="BF"/>
          <w:sz w:val="18"/>
          <w:szCs w:val="18"/>
        </w:rPr>
        <w:lastRenderedPageBreak/>
        <w:t xml:space="preserve">Future Fuels CRC is supported through the Australian Government’s Cooperative Research Centres Program. We gratefully acknowledge the cash and in-kind support from all our research, </w:t>
      </w:r>
      <w:proofErr w:type="gramStart"/>
      <w:r w:rsidRPr="00613DAF">
        <w:rPr>
          <w:rStyle w:val="Strong"/>
          <w:rFonts w:ascii="Arial" w:eastAsia="Arial" w:hAnsi="Arial" w:cs="Arial"/>
          <w:b w:val="0"/>
          <w:bCs w:val="0"/>
          <w:color w:val="404040" w:themeColor="text1" w:themeTint="BF"/>
          <w:sz w:val="18"/>
          <w:szCs w:val="18"/>
        </w:rPr>
        <w:t>government</w:t>
      </w:r>
      <w:proofErr w:type="gramEnd"/>
      <w:r w:rsidRPr="00613DAF">
        <w:rPr>
          <w:rStyle w:val="Strong"/>
          <w:rFonts w:ascii="Arial" w:eastAsia="Arial" w:hAnsi="Arial" w:cs="Arial"/>
          <w:b w:val="0"/>
          <w:bCs w:val="0"/>
          <w:color w:val="404040" w:themeColor="text1" w:themeTint="BF"/>
          <w:sz w:val="18"/>
          <w:szCs w:val="18"/>
        </w:rPr>
        <w:t xml:space="preserve"> and industry participants.</w:t>
      </w:r>
    </w:p>
    <w:p w14:paraId="66367A54" w14:textId="35E92141" w:rsidR="03C3C6E3" w:rsidRPr="00FE12D1" w:rsidRDefault="250EF543" w:rsidP="00FE12D1">
      <w:pPr>
        <w:jc w:val="center"/>
      </w:pPr>
      <w:r>
        <w:rPr>
          <w:noProof/>
        </w:rPr>
        <w:drawing>
          <wp:inline distT="0" distB="0" distL="0" distR="0" wp14:anchorId="62EE048C" wp14:editId="7F2F60C7">
            <wp:extent cx="4210050" cy="719217"/>
            <wp:effectExtent l="0" t="0" r="0" b="0"/>
            <wp:docPr id="292397996" name="Picture 292397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10050" cy="719217"/>
                    </a:xfrm>
                    <a:prstGeom prst="rect">
                      <a:avLst/>
                    </a:prstGeom>
                  </pic:spPr>
                </pic:pic>
              </a:graphicData>
            </a:graphic>
          </wp:inline>
        </w:drawing>
      </w:r>
    </w:p>
    <w:sectPr w:rsidR="03C3C6E3" w:rsidRPr="00FE12D1">
      <w:headerReference w:type="even" r:id="rId12"/>
      <w:headerReference w:type="default" r:id="rId13"/>
      <w:headerReference w:type="first" r:id="rId1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C1A651" w14:textId="77777777" w:rsidR="002E638D" w:rsidRDefault="002E638D" w:rsidP="003E717D">
      <w:pPr>
        <w:spacing w:after="0" w:line="240" w:lineRule="auto"/>
      </w:pPr>
      <w:r>
        <w:separator/>
      </w:r>
    </w:p>
  </w:endnote>
  <w:endnote w:type="continuationSeparator" w:id="0">
    <w:p w14:paraId="1C9C67A1" w14:textId="77777777" w:rsidR="002E638D" w:rsidRDefault="002E638D" w:rsidP="003E71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2D64AF" w14:textId="77777777" w:rsidR="002E638D" w:rsidRDefault="002E638D" w:rsidP="003E717D">
      <w:pPr>
        <w:spacing w:after="0" w:line="240" w:lineRule="auto"/>
      </w:pPr>
      <w:r>
        <w:separator/>
      </w:r>
    </w:p>
  </w:footnote>
  <w:footnote w:type="continuationSeparator" w:id="0">
    <w:p w14:paraId="207D9275" w14:textId="77777777" w:rsidR="002E638D" w:rsidRDefault="002E638D" w:rsidP="003E71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F17EA" w14:textId="54B1D84D" w:rsidR="000F0632" w:rsidRDefault="000F06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92B55" w14:textId="13C726AD" w:rsidR="000F0632" w:rsidRDefault="000F063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19471" w14:textId="23DDF096" w:rsidR="000F0632" w:rsidRDefault="000F06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F68E2"/>
    <w:multiLevelType w:val="hybridMultilevel"/>
    <w:tmpl w:val="FF6EEC1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D7C6D62"/>
    <w:multiLevelType w:val="hybridMultilevel"/>
    <w:tmpl w:val="2DFA238E"/>
    <w:lvl w:ilvl="0" w:tplc="849260B8">
      <w:start w:val="1"/>
      <w:numFmt w:val="bullet"/>
      <w:lvlText w:val=""/>
      <w:lvlJc w:val="left"/>
      <w:pPr>
        <w:ind w:left="720" w:hanging="360"/>
      </w:pPr>
      <w:rPr>
        <w:rFonts w:ascii="Symbol" w:hAnsi="Symbol" w:hint="default"/>
      </w:rPr>
    </w:lvl>
    <w:lvl w:ilvl="1" w:tplc="F678E17C">
      <w:start w:val="1"/>
      <w:numFmt w:val="bullet"/>
      <w:lvlText w:val="o"/>
      <w:lvlJc w:val="left"/>
      <w:pPr>
        <w:ind w:left="1440" w:hanging="360"/>
      </w:pPr>
      <w:rPr>
        <w:rFonts w:ascii="Courier New" w:hAnsi="Courier New" w:hint="default"/>
      </w:rPr>
    </w:lvl>
    <w:lvl w:ilvl="2" w:tplc="DC40419C">
      <w:start w:val="1"/>
      <w:numFmt w:val="bullet"/>
      <w:lvlText w:val=""/>
      <w:lvlJc w:val="left"/>
      <w:pPr>
        <w:ind w:left="2160" w:hanging="360"/>
      </w:pPr>
      <w:rPr>
        <w:rFonts w:ascii="Wingdings" w:hAnsi="Wingdings" w:hint="default"/>
      </w:rPr>
    </w:lvl>
    <w:lvl w:ilvl="3" w:tplc="9078CA14">
      <w:start w:val="1"/>
      <w:numFmt w:val="bullet"/>
      <w:lvlText w:val=""/>
      <w:lvlJc w:val="left"/>
      <w:pPr>
        <w:ind w:left="2880" w:hanging="360"/>
      </w:pPr>
      <w:rPr>
        <w:rFonts w:ascii="Symbol" w:hAnsi="Symbol" w:hint="default"/>
      </w:rPr>
    </w:lvl>
    <w:lvl w:ilvl="4" w:tplc="E7ECD19C">
      <w:start w:val="1"/>
      <w:numFmt w:val="bullet"/>
      <w:lvlText w:val="o"/>
      <w:lvlJc w:val="left"/>
      <w:pPr>
        <w:ind w:left="3600" w:hanging="360"/>
      </w:pPr>
      <w:rPr>
        <w:rFonts w:ascii="Courier New" w:hAnsi="Courier New" w:hint="default"/>
      </w:rPr>
    </w:lvl>
    <w:lvl w:ilvl="5" w:tplc="0B0669E8">
      <w:start w:val="1"/>
      <w:numFmt w:val="bullet"/>
      <w:lvlText w:val=""/>
      <w:lvlJc w:val="left"/>
      <w:pPr>
        <w:ind w:left="4320" w:hanging="360"/>
      </w:pPr>
      <w:rPr>
        <w:rFonts w:ascii="Wingdings" w:hAnsi="Wingdings" w:hint="default"/>
      </w:rPr>
    </w:lvl>
    <w:lvl w:ilvl="6" w:tplc="6570E8F0">
      <w:start w:val="1"/>
      <w:numFmt w:val="bullet"/>
      <w:lvlText w:val=""/>
      <w:lvlJc w:val="left"/>
      <w:pPr>
        <w:ind w:left="5040" w:hanging="360"/>
      </w:pPr>
      <w:rPr>
        <w:rFonts w:ascii="Symbol" w:hAnsi="Symbol" w:hint="default"/>
      </w:rPr>
    </w:lvl>
    <w:lvl w:ilvl="7" w:tplc="EE48CB6E">
      <w:start w:val="1"/>
      <w:numFmt w:val="bullet"/>
      <w:lvlText w:val="o"/>
      <w:lvlJc w:val="left"/>
      <w:pPr>
        <w:ind w:left="5760" w:hanging="360"/>
      </w:pPr>
      <w:rPr>
        <w:rFonts w:ascii="Courier New" w:hAnsi="Courier New" w:hint="default"/>
      </w:rPr>
    </w:lvl>
    <w:lvl w:ilvl="8" w:tplc="CDB406B6">
      <w:start w:val="1"/>
      <w:numFmt w:val="bullet"/>
      <w:lvlText w:val=""/>
      <w:lvlJc w:val="left"/>
      <w:pPr>
        <w:ind w:left="6480" w:hanging="360"/>
      </w:pPr>
      <w:rPr>
        <w:rFonts w:ascii="Wingdings" w:hAnsi="Wingdings" w:hint="default"/>
      </w:rPr>
    </w:lvl>
  </w:abstractNum>
  <w:abstractNum w:abstractNumId="2" w15:restartNumberingAfterBreak="0">
    <w:nsid w:val="33423A3F"/>
    <w:multiLevelType w:val="multilevel"/>
    <w:tmpl w:val="69CC3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AB374C"/>
    <w:multiLevelType w:val="hybridMultilevel"/>
    <w:tmpl w:val="4BD6A3F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595852EF"/>
    <w:multiLevelType w:val="hybridMultilevel"/>
    <w:tmpl w:val="B0C4D246"/>
    <w:lvl w:ilvl="0" w:tplc="DB26E89E">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7B014CC"/>
    <w:multiLevelType w:val="hybridMultilevel"/>
    <w:tmpl w:val="0F4AF9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DB05273"/>
    <w:multiLevelType w:val="hybridMultilevel"/>
    <w:tmpl w:val="BBA2E510"/>
    <w:lvl w:ilvl="0" w:tplc="3A1E0C30">
      <w:start w:val="1"/>
      <w:numFmt w:val="bullet"/>
      <w:lvlText w:val=""/>
      <w:lvlJc w:val="left"/>
      <w:pPr>
        <w:ind w:left="720" w:hanging="360"/>
      </w:pPr>
      <w:rPr>
        <w:rFonts w:ascii="Symbol" w:hAnsi="Symbol" w:hint="default"/>
      </w:rPr>
    </w:lvl>
    <w:lvl w:ilvl="1" w:tplc="DDF0DE30">
      <w:start w:val="1"/>
      <w:numFmt w:val="bullet"/>
      <w:lvlText w:val="o"/>
      <w:lvlJc w:val="left"/>
      <w:pPr>
        <w:ind w:left="1440" w:hanging="360"/>
      </w:pPr>
      <w:rPr>
        <w:rFonts w:ascii="Courier New" w:hAnsi="Courier New" w:hint="default"/>
      </w:rPr>
    </w:lvl>
    <w:lvl w:ilvl="2" w:tplc="818ECD1C">
      <w:start w:val="1"/>
      <w:numFmt w:val="bullet"/>
      <w:lvlText w:val=""/>
      <w:lvlJc w:val="left"/>
      <w:pPr>
        <w:ind w:left="2160" w:hanging="360"/>
      </w:pPr>
      <w:rPr>
        <w:rFonts w:ascii="Wingdings" w:hAnsi="Wingdings" w:hint="default"/>
      </w:rPr>
    </w:lvl>
    <w:lvl w:ilvl="3" w:tplc="2EA83B3E">
      <w:start w:val="1"/>
      <w:numFmt w:val="bullet"/>
      <w:lvlText w:val=""/>
      <w:lvlJc w:val="left"/>
      <w:pPr>
        <w:ind w:left="2880" w:hanging="360"/>
      </w:pPr>
      <w:rPr>
        <w:rFonts w:ascii="Symbol" w:hAnsi="Symbol" w:hint="default"/>
      </w:rPr>
    </w:lvl>
    <w:lvl w:ilvl="4" w:tplc="3B56ABF2">
      <w:start w:val="1"/>
      <w:numFmt w:val="bullet"/>
      <w:lvlText w:val="o"/>
      <w:lvlJc w:val="left"/>
      <w:pPr>
        <w:ind w:left="3600" w:hanging="360"/>
      </w:pPr>
      <w:rPr>
        <w:rFonts w:ascii="Courier New" w:hAnsi="Courier New" w:hint="default"/>
      </w:rPr>
    </w:lvl>
    <w:lvl w:ilvl="5" w:tplc="EAD0CFFC">
      <w:start w:val="1"/>
      <w:numFmt w:val="bullet"/>
      <w:lvlText w:val=""/>
      <w:lvlJc w:val="left"/>
      <w:pPr>
        <w:ind w:left="4320" w:hanging="360"/>
      </w:pPr>
      <w:rPr>
        <w:rFonts w:ascii="Wingdings" w:hAnsi="Wingdings" w:hint="default"/>
      </w:rPr>
    </w:lvl>
    <w:lvl w:ilvl="6" w:tplc="A9B2C46E">
      <w:start w:val="1"/>
      <w:numFmt w:val="bullet"/>
      <w:lvlText w:val=""/>
      <w:lvlJc w:val="left"/>
      <w:pPr>
        <w:ind w:left="5040" w:hanging="360"/>
      </w:pPr>
      <w:rPr>
        <w:rFonts w:ascii="Symbol" w:hAnsi="Symbol" w:hint="default"/>
      </w:rPr>
    </w:lvl>
    <w:lvl w:ilvl="7" w:tplc="21B44E2A">
      <w:start w:val="1"/>
      <w:numFmt w:val="bullet"/>
      <w:lvlText w:val="o"/>
      <w:lvlJc w:val="left"/>
      <w:pPr>
        <w:ind w:left="5760" w:hanging="360"/>
      </w:pPr>
      <w:rPr>
        <w:rFonts w:ascii="Courier New" w:hAnsi="Courier New" w:hint="default"/>
      </w:rPr>
    </w:lvl>
    <w:lvl w:ilvl="8" w:tplc="05F009D0">
      <w:start w:val="1"/>
      <w:numFmt w:val="bullet"/>
      <w:lvlText w:val=""/>
      <w:lvlJc w:val="left"/>
      <w:pPr>
        <w:ind w:left="6480" w:hanging="360"/>
      </w:pPr>
      <w:rPr>
        <w:rFonts w:ascii="Wingdings" w:hAnsi="Wingdings" w:hint="default"/>
      </w:rPr>
    </w:lvl>
  </w:abstractNum>
  <w:abstractNum w:abstractNumId="7" w15:restartNumberingAfterBreak="0">
    <w:nsid w:val="6EEE5E26"/>
    <w:multiLevelType w:val="hybridMultilevel"/>
    <w:tmpl w:val="57D04C2C"/>
    <w:lvl w:ilvl="0" w:tplc="89BEB322">
      <w:start w:val="1"/>
      <w:numFmt w:val="bullet"/>
      <w:lvlText w:val=""/>
      <w:lvlJc w:val="left"/>
      <w:pPr>
        <w:ind w:left="720" w:hanging="360"/>
      </w:pPr>
      <w:rPr>
        <w:rFonts w:ascii="Symbol" w:hAnsi="Symbol" w:hint="default"/>
      </w:rPr>
    </w:lvl>
    <w:lvl w:ilvl="1" w:tplc="9F480A34">
      <w:start w:val="1"/>
      <w:numFmt w:val="bullet"/>
      <w:lvlText w:val="o"/>
      <w:lvlJc w:val="left"/>
      <w:pPr>
        <w:ind w:left="1440" w:hanging="360"/>
      </w:pPr>
      <w:rPr>
        <w:rFonts w:ascii="Courier New" w:hAnsi="Courier New" w:hint="default"/>
      </w:rPr>
    </w:lvl>
    <w:lvl w:ilvl="2" w:tplc="D1DEE7D8">
      <w:start w:val="1"/>
      <w:numFmt w:val="bullet"/>
      <w:lvlText w:val=""/>
      <w:lvlJc w:val="left"/>
      <w:pPr>
        <w:ind w:left="2160" w:hanging="360"/>
      </w:pPr>
      <w:rPr>
        <w:rFonts w:ascii="Wingdings" w:hAnsi="Wingdings" w:hint="default"/>
      </w:rPr>
    </w:lvl>
    <w:lvl w:ilvl="3" w:tplc="068A4E42">
      <w:start w:val="1"/>
      <w:numFmt w:val="bullet"/>
      <w:lvlText w:val=""/>
      <w:lvlJc w:val="left"/>
      <w:pPr>
        <w:ind w:left="2880" w:hanging="360"/>
      </w:pPr>
      <w:rPr>
        <w:rFonts w:ascii="Symbol" w:hAnsi="Symbol" w:hint="default"/>
      </w:rPr>
    </w:lvl>
    <w:lvl w:ilvl="4" w:tplc="A72483B6">
      <w:start w:val="1"/>
      <w:numFmt w:val="bullet"/>
      <w:lvlText w:val="o"/>
      <w:lvlJc w:val="left"/>
      <w:pPr>
        <w:ind w:left="3600" w:hanging="360"/>
      </w:pPr>
      <w:rPr>
        <w:rFonts w:ascii="Courier New" w:hAnsi="Courier New" w:hint="default"/>
      </w:rPr>
    </w:lvl>
    <w:lvl w:ilvl="5" w:tplc="7CF8B2C2">
      <w:start w:val="1"/>
      <w:numFmt w:val="bullet"/>
      <w:lvlText w:val=""/>
      <w:lvlJc w:val="left"/>
      <w:pPr>
        <w:ind w:left="4320" w:hanging="360"/>
      </w:pPr>
      <w:rPr>
        <w:rFonts w:ascii="Wingdings" w:hAnsi="Wingdings" w:hint="default"/>
      </w:rPr>
    </w:lvl>
    <w:lvl w:ilvl="6" w:tplc="2880197E">
      <w:start w:val="1"/>
      <w:numFmt w:val="bullet"/>
      <w:lvlText w:val=""/>
      <w:lvlJc w:val="left"/>
      <w:pPr>
        <w:ind w:left="5040" w:hanging="360"/>
      </w:pPr>
      <w:rPr>
        <w:rFonts w:ascii="Symbol" w:hAnsi="Symbol" w:hint="default"/>
      </w:rPr>
    </w:lvl>
    <w:lvl w:ilvl="7" w:tplc="429CC4EC">
      <w:start w:val="1"/>
      <w:numFmt w:val="bullet"/>
      <w:lvlText w:val="o"/>
      <w:lvlJc w:val="left"/>
      <w:pPr>
        <w:ind w:left="5760" w:hanging="360"/>
      </w:pPr>
      <w:rPr>
        <w:rFonts w:ascii="Courier New" w:hAnsi="Courier New" w:hint="default"/>
      </w:rPr>
    </w:lvl>
    <w:lvl w:ilvl="8" w:tplc="124EAD56">
      <w:start w:val="1"/>
      <w:numFmt w:val="bullet"/>
      <w:lvlText w:val=""/>
      <w:lvlJc w:val="left"/>
      <w:pPr>
        <w:ind w:left="6480" w:hanging="360"/>
      </w:pPr>
      <w:rPr>
        <w:rFonts w:ascii="Wingdings" w:hAnsi="Wingdings" w:hint="default"/>
      </w:rPr>
    </w:lvl>
  </w:abstractNum>
  <w:num w:numId="1" w16cid:durableId="1104571731">
    <w:abstractNumId w:val="1"/>
  </w:num>
  <w:num w:numId="2" w16cid:durableId="1725252253">
    <w:abstractNumId w:val="6"/>
  </w:num>
  <w:num w:numId="3" w16cid:durableId="728575355">
    <w:abstractNumId w:val="7"/>
  </w:num>
  <w:num w:numId="4" w16cid:durableId="870344085">
    <w:abstractNumId w:val="2"/>
  </w:num>
  <w:num w:numId="5" w16cid:durableId="1574658594">
    <w:abstractNumId w:val="5"/>
  </w:num>
  <w:num w:numId="6" w16cid:durableId="25956817">
    <w:abstractNumId w:val="4"/>
  </w:num>
  <w:num w:numId="7" w16cid:durableId="655382797">
    <w:abstractNumId w:val="0"/>
  </w:num>
  <w:num w:numId="8" w16cid:durableId="1986649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LWwNLMwMjcyNTY0MDJR0lEKTi0uzszPAykwrAUAGHDtVSwAAAA="/>
  </w:docVars>
  <w:rsids>
    <w:rsidRoot w:val="00FE1D4B"/>
    <w:rsid w:val="000F0632"/>
    <w:rsid w:val="00226C70"/>
    <w:rsid w:val="002E638D"/>
    <w:rsid w:val="0030459F"/>
    <w:rsid w:val="00336CE3"/>
    <w:rsid w:val="003813A9"/>
    <w:rsid w:val="003E717D"/>
    <w:rsid w:val="00457AFE"/>
    <w:rsid w:val="00512A81"/>
    <w:rsid w:val="005737C9"/>
    <w:rsid w:val="005E4D0E"/>
    <w:rsid w:val="006060B2"/>
    <w:rsid w:val="00613B70"/>
    <w:rsid w:val="00613DAF"/>
    <w:rsid w:val="00645260"/>
    <w:rsid w:val="00664AD9"/>
    <w:rsid w:val="00682B09"/>
    <w:rsid w:val="007845BC"/>
    <w:rsid w:val="008344AA"/>
    <w:rsid w:val="00851C4E"/>
    <w:rsid w:val="00866278"/>
    <w:rsid w:val="008A4A5A"/>
    <w:rsid w:val="008D2B66"/>
    <w:rsid w:val="00906E44"/>
    <w:rsid w:val="00923FA5"/>
    <w:rsid w:val="009552AF"/>
    <w:rsid w:val="009C3598"/>
    <w:rsid w:val="009D2B79"/>
    <w:rsid w:val="009E0C3F"/>
    <w:rsid w:val="00AA0568"/>
    <w:rsid w:val="00AC2710"/>
    <w:rsid w:val="00B67908"/>
    <w:rsid w:val="00BF3F2E"/>
    <w:rsid w:val="00C23221"/>
    <w:rsid w:val="00C27F68"/>
    <w:rsid w:val="00CF3DA7"/>
    <w:rsid w:val="00DF30B8"/>
    <w:rsid w:val="00E07042"/>
    <w:rsid w:val="00E276A1"/>
    <w:rsid w:val="00EC1D3E"/>
    <w:rsid w:val="00EF0896"/>
    <w:rsid w:val="00F04E61"/>
    <w:rsid w:val="00F448E1"/>
    <w:rsid w:val="00F57339"/>
    <w:rsid w:val="00F61929"/>
    <w:rsid w:val="00FE12D1"/>
    <w:rsid w:val="00FE1D4B"/>
    <w:rsid w:val="03C3C6E3"/>
    <w:rsid w:val="04D6EFA0"/>
    <w:rsid w:val="05788BD5"/>
    <w:rsid w:val="05E0038B"/>
    <w:rsid w:val="08606BE7"/>
    <w:rsid w:val="0A199863"/>
    <w:rsid w:val="0AFB341E"/>
    <w:rsid w:val="0C98A95E"/>
    <w:rsid w:val="0CEC4B6E"/>
    <w:rsid w:val="0D04ED7F"/>
    <w:rsid w:val="0EC7AA6F"/>
    <w:rsid w:val="0ED42096"/>
    <w:rsid w:val="110DA704"/>
    <w:rsid w:val="11386BBB"/>
    <w:rsid w:val="11A69434"/>
    <w:rsid w:val="121F083A"/>
    <w:rsid w:val="125C03A4"/>
    <w:rsid w:val="12B12838"/>
    <w:rsid w:val="13F25F89"/>
    <w:rsid w:val="157E9907"/>
    <w:rsid w:val="16AB21F3"/>
    <w:rsid w:val="17640DD6"/>
    <w:rsid w:val="17B55727"/>
    <w:rsid w:val="194719FC"/>
    <w:rsid w:val="1B3A9949"/>
    <w:rsid w:val="1C3B124F"/>
    <w:rsid w:val="2071B78F"/>
    <w:rsid w:val="2188B9C3"/>
    <w:rsid w:val="22B07AF1"/>
    <w:rsid w:val="22B1AE5A"/>
    <w:rsid w:val="244C4B52"/>
    <w:rsid w:val="246890EE"/>
    <w:rsid w:val="24E6E25D"/>
    <w:rsid w:val="250EF543"/>
    <w:rsid w:val="25AAAFBF"/>
    <w:rsid w:val="26C4E67C"/>
    <w:rsid w:val="27304A04"/>
    <w:rsid w:val="2783EC14"/>
    <w:rsid w:val="279BA331"/>
    <w:rsid w:val="27C6F3AB"/>
    <w:rsid w:val="29B15CBD"/>
    <w:rsid w:val="2B69E2EB"/>
    <w:rsid w:val="2D13D903"/>
    <w:rsid w:val="2EB3AA72"/>
    <w:rsid w:val="2FBB0594"/>
    <w:rsid w:val="303B9374"/>
    <w:rsid w:val="3132BBE0"/>
    <w:rsid w:val="317C6700"/>
    <w:rsid w:val="3184BDC5"/>
    <w:rsid w:val="3188077D"/>
    <w:rsid w:val="330CF5D3"/>
    <w:rsid w:val="357FE174"/>
    <w:rsid w:val="374F4BF9"/>
    <w:rsid w:val="392D811E"/>
    <w:rsid w:val="39832400"/>
    <w:rsid w:val="39C76890"/>
    <w:rsid w:val="3A818E4F"/>
    <w:rsid w:val="3B9B0807"/>
    <w:rsid w:val="3D674BF4"/>
    <w:rsid w:val="3DD0E87A"/>
    <w:rsid w:val="3DF8168B"/>
    <w:rsid w:val="3E6A3872"/>
    <w:rsid w:val="405A1AAA"/>
    <w:rsid w:val="42073801"/>
    <w:rsid w:val="43B75D1B"/>
    <w:rsid w:val="44305EB7"/>
    <w:rsid w:val="44BABBD4"/>
    <w:rsid w:val="46C6CB96"/>
    <w:rsid w:val="47E2C0D0"/>
    <w:rsid w:val="483DDBEC"/>
    <w:rsid w:val="486A1943"/>
    <w:rsid w:val="488C94A6"/>
    <w:rsid w:val="4934BE3E"/>
    <w:rsid w:val="4BE0B114"/>
    <w:rsid w:val="4DA94391"/>
    <w:rsid w:val="4ED11976"/>
    <w:rsid w:val="4F0AEFED"/>
    <w:rsid w:val="50F29594"/>
    <w:rsid w:val="522DD134"/>
    <w:rsid w:val="53D9117E"/>
    <w:rsid w:val="555EA866"/>
    <w:rsid w:val="569A4598"/>
    <w:rsid w:val="57C7F4A2"/>
    <w:rsid w:val="5B5F47AE"/>
    <w:rsid w:val="5DDAB369"/>
    <w:rsid w:val="5ED8F398"/>
    <w:rsid w:val="5F105027"/>
    <w:rsid w:val="6067BEDF"/>
    <w:rsid w:val="6101E461"/>
    <w:rsid w:val="6226C46D"/>
    <w:rsid w:val="62369977"/>
    <w:rsid w:val="62AC4E99"/>
    <w:rsid w:val="635E1F80"/>
    <w:rsid w:val="63AF0FB2"/>
    <w:rsid w:val="6C65F217"/>
    <w:rsid w:val="6C7A2F94"/>
    <w:rsid w:val="6D7FCD08"/>
    <w:rsid w:val="6DC8EE1B"/>
    <w:rsid w:val="6FA60EBE"/>
    <w:rsid w:val="6FB53D62"/>
    <w:rsid w:val="72E0C5F8"/>
    <w:rsid w:val="734987F5"/>
    <w:rsid w:val="7369E451"/>
    <w:rsid w:val="74743BBB"/>
    <w:rsid w:val="764B879A"/>
    <w:rsid w:val="787CB267"/>
    <w:rsid w:val="7D1A00CE"/>
    <w:rsid w:val="7E9D71C4"/>
    <w:rsid w:val="7ECB56BD"/>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F27716"/>
  <w15:chartTrackingRefBased/>
  <w15:docId w15:val="{F56FFE01-638E-4FC3-A6E3-B4CA51146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F30B8"/>
    <w:rPr>
      <w:color w:val="0000FF"/>
      <w:u w:val="single"/>
    </w:rPr>
  </w:style>
  <w:style w:type="character" w:styleId="Strong">
    <w:name w:val="Strong"/>
    <w:basedOn w:val="DefaultParagraphFont"/>
    <w:uiPriority w:val="22"/>
    <w:qFormat/>
    <w:rsid w:val="009D2B79"/>
    <w:rPr>
      <w:b/>
      <w:bCs/>
    </w:rPr>
  </w:style>
  <w:style w:type="paragraph" w:styleId="ListParagraph">
    <w:name w:val="List Paragraph"/>
    <w:basedOn w:val="Normal"/>
    <w:uiPriority w:val="34"/>
    <w:qFormat/>
    <w:rsid w:val="00226C70"/>
    <w:pPr>
      <w:ind w:left="720"/>
      <w:contextualSpacing/>
    </w:pPr>
  </w:style>
  <w:style w:type="paragraph" w:styleId="Header">
    <w:name w:val="header"/>
    <w:basedOn w:val="Normal"/>
    <w:link w:val="HeaderChar"/>
    <w:uiPriority w:val="99"/>
    <w:unhideWhenUsed/>
    <w:rsid w:val="003E71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717D"/>
  </w:style>
  <w:style w:type="paragraph" w:styleId="Footer">
    <w:name w:val="footer"/>
    <w:basedOn w:val="Normal"/>
    <w:link w:val="FooterChar"/>
    <w:uiPriority w:val="99"/>
    <w:unhideWhenUsed/>
    <w:rsid w:val="003E71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717D"/>
  </w:style>
  <w:style w:type="paragraph" w:customStyle="1" w:styleId="Default">
    <w:name w:val="Default"/>
    <w:rsid w:val="00613DAF"/>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906E4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8826245">
      <w:bodyDiv w:val="1"/>
      <w:marLeft w:val="0"/>
      <w:marRight w:val="0"/>
      <w:marTop w:val="0"/>
      <w:marBottom w:val="0"/>
      <w:divBdr>
        <w:top w:val="none" w:sz="0" w:space="0" w:color="auto"/>
        <w:left w:val="none" w:sz="0" w:space="0" w:color="auto"/>
        <w:bottom w:val="none" w:sz="0" w:space="0" w:color="auto"/>
        <w:right w:val="none" w:sz="0" w:space="0" w:color="auto"/>
      </w:divBdr>
      <w:divsChild>
        <w:div w:id="1449813839">
          <w:marLeft w:val="-225"/>
          <w:marRight w:val="-225"/>
          <w:marTop w:val="0"/>
          <w:marBottom w:val="0"/>
          <w:divBdr>
            <w:top w:val="none" w:sz="0" w:space="0" w:color="auto"/>
            <w:left w:val="none" w:sz="0" w:space="0" w:color="auto"/>
            <w:bottom w:val="none" w:sz="0" w:space="0" w:color="auto"/>
            <w:right w:val="none" w:sz="0" w:space="0" w:color="auto"/>
          </w:divBdr>
          <w:divsChild>
            <w:div w:id="297802105">
              <w:marLeft w:val="0"/>
              <w:marRight w:val="0"/>
              <w:marTop w:val="0"/>
              <w:marBottom w:val="0"/>
              <w:divBdr>
                <w:top w:val="none" w:sz="0" w:space="0" w:color="auto"/>
                <w:left w:val="none" w:sz="0" w:space="0" w:color="auto"/>
                <w:bottom w:val="none" w:sz="0" w:space="0" w:color="auto"/>
                <w:right w:val="none" w:sz="0" w:space="0" w:color="auto"/>
              </w:divBdr>
              <w:divsChild>
                <w:div w:id="133067181">
                  <w:marLeft w:val="0"/>
                  <w:marRight w:val="0"/>
                  <w:marTop w:val="0"/>
                  <w:marBottom w:val="0"/>
                  <w:divBdr>
                    <w:top w:val="none" w:sz="0" w:space="0" w:color="auto"/>
                    <w:left w:val="none" w:sz="0" w:space="0" w:color="auto"/>
                    <w:bottom w:val="none" w:sz="0" w:space="0" w:color="auto"/>
                    <w:right w:val="none" w:sz="0" w:space="0" w:color="auto"/>
                  </w:divBdr>
                  <w:divsChild>
                    <w:div w:id="1914926509">
                      <w:marLeft w:val="0"/>
                      <w:marRight w:val="0"/>
                      <w:marTop w:val="0"/>
                      <w:marBottom w:val="0"/>
                      <w:divBdr>
                        <w:top w:val="none" w:sz="0" w:space="0" w:color="auto"/>
                        <w:left w:val="none" w:sz="0" w:space="0" w:color="auto"/>
                        <w:bottom w:val="none" w:sz="0" w:space="0" w:color="auto"/>
                        <w:right w:val="none" w:sz="0" w:space="0" w:color="auto"/>
                      </w:divBdr>
                      <w:divsChild>
                        <w:div w:id="1217669356">
                          <w:marLeft w:val="0"/>
                          <w:marRight w:val="0"/>
                          <w:marTop w:val="0"/>
                          <w:marBottom w:val="0"/>
                          <w:divBdr>
                            <w:top w:val="none" w:sz="0" w:space="0" w:color="auto"/>
                            <w:left w:val="none" w:sz="0" w:space="0" w:color="auto"/>
                            <w:bottom w:val="none" w:sz="0" w:space="0" w:color="auto"/>
                            <w:right w:val="none" w:sz="0" w:space="0" w:color="auto"/>
                          </w:divBdr>
                          <w:divsChild>
                            <w:div w:id="1519660757">
                              <w:marLeft w:val="0"/>
                              <w:marRight w:val="0"/>
                              <w:marTop w:val="0"/>
                              <w:marBottom w:val="0"/>
                              <w:divBdr>
                                <w:top w:val="none" w:sz="0" w:space="0" w:color="auto"/>
                                <w:left w:val="none" w:sz="0" w:space="0" w:color="auto"/>
                                <w:bottom w:val="none" w:sz="0" w:space="0" w:color="auto"/>
                                <w:right w:val="none" w:sz="0" w:space="0" w:color="auto"/>
                              </w:divBdr>
                              <w:divsChild>
                                <w:div w:id="54344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3790906">
          <w:marLeft w:val="-225"/>
          <w:marRight w:val="-225"/>
          <w:marTop w:val="0"/>
          <w:marBottom w:val="0"/>
          <w:divBdr>
            <w:top w:val="none" w:sz="0" w:space="0" w:color="auto"/>
            <w:left w:val="none" w:sz="0" w:space="0" w:color="auto"/>
            <w:bottom w:val="none" w:sz="0" w:space="0" w:color="auto"/>
            <w:right w:val="none" w:sz="0" w:space="0" w:color="auto"/>
          </w:divBdr>
          <w:divsChild>
            <w:div w:id="1536232497">
              <w:marLeft w:val="0"/>
              <w:marRight w:val="0"/>
              <w:marTop w:val="0"/>
              <w:marBottom w:val="0"/>
              <w:divBdr>
                <w:top w:val="none" w:sz="0" w:space="0" w:color="auto"/>
                <w:left w:val="none" w:sz="0" w:space="0" w:color="auto"/>
                <w:bottom w:val="none" w:sz="0" w:space="0" w:color="auto"/>
                <w:right w:val="none" w:sz="0" w:space="0" w:color="auto"/>
              </w:divBdr>
              <w:divsChild>
                <w:div w:id="1791895791">
                  <w:marLeft w:val="0"/>
                  <w:marRight w:val="0"/>
                  <w:marTop w:val="0"/>
                  <w:marBottom w:val="0"/>
                  <w:divBdr>
                    <w:top w:val="none" w:sz="0" w:space="0" w:color="auto"/>
                    <w:left w:val="none" w:sz="0" w:space="0" w:color="auto"/>
                    <w:bottom w:val="none" w:sz="0" w:space="0" w:color="auto"/>
                    <w:right w:val="none" w:sz="0" w:space="0" w:color="auto"/>
                  </w:divBdr>
                  <w:divsChild>
                    <w:div w:id="309555104">
                      <w:marLeft w:val="0"/>
                      <w:marRight w:val="0"/>
                      <w:marTop w:val="0"/>
                      <w:marBottom w:val="0"/>
                      <w:divBdr>
                        <w:top w:val="none" w:sz="0" w:space="0" w:color="auto"/>
                        <w:left w:val="none" w:sz="0" w:space="0" w:color="auto"/>
                        <w:bottom w:val="none" w:sz="0" w:space="0" w:color="auto"/>
                        <w:right w:val="none" w:sz="0" w:space="0" w:color="auto"/>
                      </w:divBdr>
                      <w:divsChild>
                        <w:div w:id="1369065594">
                          <w:marLeft w:val="0"/>
                          <w:marRight w:val="0"/>
                          <w:marTop w:val="0"/>
                          <w:marBottom w:val="0"/>
                          <w:divBdr>
                            <w:top w:val="none" w:sz="0" w:space="0" w:color="auto"/>
                            <w:left w:val="none" w:sz="0" w:space="0" w:color="auto"/>
                            <w:bottom w:val="none" w:sz="0" w:space="0" w:color="auto"/>
                            <w:right w:val="none" w:sz="0" w:space="0" w:color="auto"/>
                          </w:divBdr>
                          <w:divsChild>
                            <w:div w:id="188833524">
                              <w:marLeft w:val="0"/>
                              <w:marRight w:val="0"/>
                              <w:marTop w:val="0"/>
                              <w:marBottom w:val="0"/>
                              <w:divBdr>
                                <w:top w:val="none" w:sz="0" w:space="0" w:color="auto"/>
                                <w:left w:val="none" w:sz="0" w:space="0" w:color="auto"/>
                                <w:bottom w:val="none" w:sz="0" w:space="0" w:color="auto"/>
                                <w:right w:val="none" w:sz="0" w:space="0" w:color="auto"/>
                              </w:divBdr>
                              <w:divsChild>
                                <w:div w:id="177918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4363bc9-e002-4f81-a5e1-8f41fba3c29f">
      <UserInfo>
        <DisplayName/>
        <AccountId xsi:nil="true"/>
        <AccountType/>
      </UserInfo>
    </SharedWithUsers>
    <MediaLengthInSeconds xmlns="4bd2851d-78fa-4755-bea0-e81e8d2e92e1" xsi:nil="true"/>
    <TaxCatchAll xmlns="e9215c2e-cb2f-4dc7-87d2-156f8392f66c" xsi:nil="true"/>
    <lcf76f155ced4ddcb4097134ff3c332f xmlns="ebd36939-a862-4257-99b8-ac208403cbb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6CA60712C624D47AFA24E0E2B071E39" ma:contentTypeVersion="11" ma:contentTypeDescription="Create a new document." ma:contentTypeScope="" ma:versionID="6ac4aa2e7b66d13f93f1bf6b935448b2">
  <xsd:schema xmlns:xsd="http://www.w3.org/2001/XMLSchema" xmlns:xs="http://www.w3.org/2001/XMLSchema" xmlns:p="http://schemas.microsoft.com/office/2006/metadata/properties" xmlns:ns2="4bd2851d-78fa-4755-bea0-e81e8d2e92e1" xmlns:ns3="c4363bc9-e002-4f81-a5e1-8f41fba3c29f" xmlns:ns4="ebd36939-a862-4257-99b8-ac208403cbb1" xmlns:ns5="e9215c2e-cb2f-4dc7-87d2-156f8392f66c" targetNamespace="http://schemas.microsoft.com/office/2006/metadata/properties" ma:root="true" ma:fieldsID="96a21eee44906f7c246ea90439bfd290" ns2:_="" ns3:_="" ns4:_="" ns5:_="">
    <xsd:import namespace="4bd2851d-78fa-4755-bea0-e81e8d2e92e1"/>
    <xsd:import namespace="c4363bc9-e002-4f81-a5e1-8f41fba3c29f"/>
    <xsd:import namespace="ebd36939-a862-4257-99b8-ac208403cbb1"/>
    <xsd:import namespace="e9215c2e-cb2f-4dc7-87d2-156f8392f66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BillingMetadata"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d2851d-78fa-4755-bea0-e81e8d2e92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363bc9-e002-4f81-a5e1-8f41fba3c29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d36939-a862-4257-99b8-ac208403cbb1" elementFormDefault="qualified">
    <xsd:import namespace="http://schemas.microsoft.com/office/2006/documentManagement/types"/>
    <xsd:import namespace="http://schemas.microsoft.com/office/infopath/2007/PartnerControls"/>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a7b88db-b703-4d04-81b7-e61a8f0436e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9215c2e-cb2f-4dc7-87d2-156f8392f66c"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b0905a60-8366-4cb6-ab24-12e3f364fff6}" ma:internalName="TaxCatchAll" ma:showField="CatchAllData" ma:web="e9215c2e-cb2f-4dc7-87d2-156f8392f6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466FF9-0503-4A4B-B829-9CB5F73058B5}">
  <ds:schemaRefs>
    <ds:schemaRef ds:uri="http://schemas.microsoft.com/office/2006/metadata/properties"/>
    <ds:schemaRef ds:uri="http://schemas.microsoft.com/office/infopath/2007/PartnerControls"/>
    <ds:schemaRef ds:uri="c4363bc9-e002-4f81-a5e1-8f41fba3c29f"/>
    <ds:schemaRef ds:uri="4bd2851d-78fa-4755-bea0-e81e8d2e92e1"/>
  </ds:schemaRefs>
</ds:datastoreItem>
</file>

<file path=customXml/itemProps2.xml><?xml version="1.0" encoding="utf-8"?>
<ds:datastoreItem xmlns:ds="http://schemas.openxmlformats.org/officeDocument/2006/customXml" ds:itemID="{28CB955B-3303-42CA-A661-224890EC8B1F}">
  <ds:schemaRefs>
    <ds:schemaRef ds:uri="http://schemas.microsoft.com/sharepoint/v3/contenttype/forms"/>
  </ds:schemaRefs>
</ds:datastoreItem>
</file>

<file path=customXml/itemProps3.xml><?xml version="1.0" encoding="utf-8"?>
<ds:datastoreItem xmlns:ds="http://schemas.openxmlformats.org/officeDocument/2006/customXml" ds:itemID="{08DBDBBD-F350-4C4A-83C5-4A926E1DB66D}"/>
</file>

<file path=docProps/app.xml><?xml version="1.0" encoding="utf-8"?>
<Properties xmlns="http://schemas.openxmlformats.org/officeDocument/2006/extended-properties" xmlns:vt="http://schemas.openxmlformats.org/officeDocument/2006/docPropsVTypes">
  <Template>Normal</Template>
  <TotalTime>1</TotalTime>
  <Pages>2</Pages>
  <Words>493</Words>
  <Characters>2815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Whittaker</dc:creator>
  <cp:keywords/>
  <dc:description/>
  <cp:lastModifiedBy>Stephen McGrail</cp:lastModifiedBy>
  <cp:revision>2</cp:revision>
  <dcterms:created xsi:type="dcterms:W3CDTF">2024-01-18T05:23:00Z</dcterms:created>
  <dcterms:modified xsi:type="dcterms:W3CDTF">2024-01-18T05:23:00Z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0x010100E6CA60712C624D47AFA24E0E2B071E39</vt:lpwstr>
  </property>
  <property fmtid="{D5CDD505-2E9C-101B-9397-08002B2CF9AE}" pid="3" name="Order">
    <vt:r8>937000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y fmtid="{D5CDD505-2E9C-101B-9397-08002B2CF9AE}" pid="8" name="MSIP_Label_1b52b3a1-dbcb-41fb-a452-370cf542753f_Enabled">
    <vt:lpwstr>true</vt:lpwstr>
  </property>
  <property fmtid="{D5CDD505-2E9C-101B-9397-08002B2CF9AE}" pid="9" name="MSIP_Label_1b52b3a1-dbcb-41fb-a452-370cf542753f_SetDate">
    <vt:lpwstr>2024-01-17T06:24:26Z</vt:lpwstr>
  </property>
  <property fmtid="{D5CDD505-2E9C-101B-9397-08002B2CF9AE}" pid="10" name="MSIP_Label_1b52b3a1-dbcb-41fb-a452-370cf542753f_Method">
    <vt:lpwstr>Privileged</vt:lpwstr>
  </property>
  <property fmtid="{D5CDD505-2E9C-101B-9397-08002B2CF9AE}" pid="11" name="MSIP_Label_1b52b3a1-dbcb-41fb-a452-370cf542753f_Name">
    <vt:lpwstr>Public</vt:lpwstr>
  </property>
  <property fmtid="{D5CDD505-2E9C-101B-9397-08002B2CF9AE}" pid="12" name="MSIP_Label_1b52b3a1-dbcb-41fb-a452-370cf542753f_SiteId">
    <vt:lpwstr>d1323671-cdbe-4417-b4d4-bdb24b51316b</vt:lpwstr>
  </property>
  <property fmtid="{D5CDD505-2E9C-101B-9397-08002B2CF9AE}" pid="13" name="MSIP_Label_1b52b3a1-dbcb-41fb-a452-370cf542753f_ActionId">
    <vt:lpwstr>6e95c00c-b8a5-4b7f-b273-2007583bb5c8</vt:lpwstr>
  </property>
  <property fmtid="{D5CDD505-2E9C-101B-9397-08002B2CF9AE}" pid="14" name="MSIP_Label_1b52b3a1-dbcb-41fb-a452-370cf542753f_ContentBits">
    <vt:lpwstr>0</vt:lpwstr>
  </property>
  <property fmtid="{D5CDD505-2E9C-101B-9397-08002B2CF9AE}" pid="15" name="GUID">
    <vt:lpwstr>e956ea32-88e3-43f3-b198-3cb5e95c855b</vt:lpwstr>
  </property>
  <property fmtid="{D5CDD505-2E9C-101B-9397-08002B2CF9AE}" pid="16" name="xd_Signature">
    <vt:bool>false</vt:bool>
  </property>
  <property fmtid="{D5CDD505-2E9C-101B-9397-08002B2CF9AE}" pid="17" name="xd_ProgID">
    <vt:lpwstr/>
  </property>
  <property fmtid="{D5CDD505-2E9C-101B-9397-08002B2CF9AE}" pid="18" name="lcf76f155ced4ddcb4097134ff3c332f">
    <vt:lpwstr/>
  </property>
  <property fmtid="{D5CDD505-2E9C-101B-9397-08002B2CF9AE}" pid="19" name="TaxCatchAll">
    <vt:lpwstr/>
  </property>
  <property fmtid="{D5CDD505-2E9C-101B-9397-08002B2CF9AE}" pid="20" name="_SourceUrl">
    <vt:lpwstr/>
  </property>
  <property fmtid="{D5CDD505-2E9C-101B-9397-08002B2CF9AE}" pid="21" name="_SharedFileIndex">
    <vt:lpwstr/>
  </property>
  <property fmtid="{D5CDD505-2E9C-101B-9397-08002B2CF9AE}" pid="22" name="TemplateUrl">
    <vt:lpwstr/>
  </property>
</Properties>
</file>